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7E4" w:rsidRPr="00A907BA" w:rsidRDefault="00F547E4" w:rsidP="00142030">
      <w:pPr>
        <w:spacing w:before="1" w:after="0" w:line="130" w:lineRule="exact"/>
        <w:rPr>
          <w:sz w:val="13"/>
          <w:szCs w:val="13"/>
          <w:lang w:val="en-GB"/>
        </w:rPr>
      </w:pPr>
      <w:bookmarkStart w:id="0" w:name="_GoBack"/>
      <w:bookmarkEnd w:id="0"/>
    </w:p>
    <w:p w:rsidR="00F547E4" w:rsidRPr="00A907BA" w:rsidRDefault="00F547E4" w:rsidP="00142030">
      <w:pPr>
        <w:spacing w:after="0" w:line="200" w:lineRule="exact"/>
        <w:rPr>
          <w:sz w:val="20"/>
          <w:szCs w:val="20"/>
          <w:lang w:val="en-GB"/>
        </w:rPr>
      </w:pPr>
    </w:p>
    <w:p w:rsidR="00F547E4" w:rsidRPr="007B4CC1" w:rsidRDefault="00F547E4" w:rsidP="00142030">
      <w:pPr>
        <w:pStyle w:val="INTRO"/>
        <w:rPr>
          <w:sz w:val="66"/>
          <w:szCs w:val="66"/>
          <w:lang w:val="en-GB"/>
        </w:rPr>
      </w:pPr>
      <w:r w:rsidRPr="007B4CC1">
        <w:rPr>
          <w:rFonts w:ascii="Arial Black" w:hAnsi="Arial Black" w:cs="Gotham Black"/>
          <w:b/>
          <w:bCs/>
          <w:spacing w:val="0"/>
          <w:sz w:val="66"/>
          <w:szCs w:val="66"/>
          <w:lang w:val="en-GB"/>
        </w:rPr>
        <w:t>COPYRIGHT LICENSING</w:t>
      </w:r>
    </w:p>
    <w:p w:rsidR="00F547E4" w:rsidRPr="007B4CC1" w:rsidRDefault="00F547E4" w:rsidP="005E7B82">
      <w:pPr>
        <w:pStyle w:val="INTRO"/>
        <w:spacing w:before="0"/>
        <w:ind w:right="363"/>
        <w:rPr>
          <w:lang w:val="en-GB"/>
        </w:rPr>
      </w:pPr>
      <w:r w:rsidRPr="007B4CC1">
        <w:rPr>
          <w:lang w:val="en-GB"/>
        </w:rPr>
        <w:t xml:space="preserve">Public Service Media (PSM) are key contributors to the creative economy and major developers of legal offers of online content. They are devoted to providing citizens with wide access to high quality content on all relevant platforms and devices. </w:t>
      </w:r>
    </w:p>
    <w:p w:rsidR="00F547E4" w:rsidRPr="007B4CC1" w:rsidRDefault="00F547E4" w:rsidP="005E7B82">
      <w:pPr>
        <w:pStyle w:val="INTRO"/>
        <w:spacing w:before="0"/>
        <w:ind w:right="363"/>
        <w:rPr>
          <w:lang w:val="en-GB"/>
        </w:rPr>
      </w:pPr>
    </w:p>
    <w:p w:rsidR="00F547E4" w:rsidRPr="007B4CC1" w:rsidRDefault="00F547E4" w:rsidP="00037718">
      <w:pPr>
        <w:pStyle w:val="INTRO"/>
        <w:spacing w:before="0"/>
        <w:ind w:right="363"/>
        <w:rPr>
          <w:lang w:val="en-GB"/>
        </w:rPr>
      </w:pPr>
      <w:r w:rsidRPr="007B4CC1">
        <w:rPr>
          <w:lang w:val="en-GB"/>
        </w:rPr>
        <w:t>The licensing process of copyright-protected works is at the centre of the distribution of content and the remuneration of rightsholders. While the overall legal framework for copyright remains fit for purpose, introducing efficient and modern licensing schemes will advance Digital Single Market objectives and offers solutions where broadcasters decide to offer programmes online and across borders.</w:t>
      </w:r>
    </w:p>
    <w:p w:rsidR="00F547E4" w:rsidRPr="007B4CC1" w:rsidRDefault="00F547E4" w:rsidP="00037718">
      <w:pPr>
        <w:pStyle w:val="INTRO"/>
        <w:spacing w:before="0"/>
        <w:ind w:right="363"/>
        <w:rPr>
          <w:lang w:val="en-GB"/>
        </w:rPr>
      </w:pPr>
    </w:p>
    <w:tbl>
      <w:tblPr>
        <w:tblW w:w="9322" w:type="dxa"/>
        <w:tblLook w:val="00A0" w:firstRow="1" w:lastRow="0" w:firstColumn="1" w:lastColumn="0" w:noHBand="0" w:noVBand="0"/>
      </w:tblPr>
      <w:tblGrid>
        <w:gridCol w:w="1960"/>
        <w:gridCol w:w="7362"/>
      </w:tblGrid>
      <w:tr w:rsidR="00F547E4" w:rsidRPr="00F22A09" w:rsidTr="00511509">
        <w:tc>
          <w:tcPr>
            <w:tcW w:w="1960" w:type="dxa"/>
          </w:tcPr>
          <w:p w:rsidR="00F547E4" w:rsidRPr="00F22A09" w:rsidRDefault="00F547E4" w:rsidP="00F22A09">
            <w:pPr>
              <w:pStyle w:val="Intergauche"/>
              <w:spacing w:line="240" w:lineRule="auto"/>
              <w:rPr>
                <w:lang w:val="en-GB"/>
              </w:rPr>
            </w:pPr>
            <w:r w:rsidRPr="00F22A09">
              <w:rPr>
                <w:lang w:val="en-GB"/>
              </w:rPr>
              <w:t>PSM are rightsholders and mass copyright users</w:t>
            </w:r>
          </w:p>
          <w:p w:rsidR="00F547E4" w:rsidRPr="00F22A09" w:rsidRDefault="00F547E4" w:rsidP="00F22A09">
            <w:pPr>
              <w:pStyle w:val="INTRO"/>
              <w:spacing w:line="240" w:lineRule="auto"/>
              <w:ind w:right="2547"/>
              <w:rPr>
                <w:lang w:val="en-GB"/>
              </w:rPr>
            </w:pPr>
          </w:p>
        </w:tc>
        <w:tc>
          <w:tcPr>
            <w:tcW w:w="7362" w:type="dxa"/>
          </w:tcPr>
          <w:p w:rsidR="00F547E4" w:rsidRPr="00810475" w:rsidRDefault="00F547E4" w:rsidP="00A86C29">
            <w:pPr>
              <w:pStyle w:val="texte"/>
              <w:spacing w:line="276" w:lineRule="auto"/>
              <w:rPr>
                <w:color w:val="auto"/>
                <w:lang w:val="en-GB"/>
              </w:rPr>
            </w:pPr>
            <w:r w:rsidRPr="00810475">
              <w:rPr>
                <w:color w:val="auto"/>
                <w:lang w:val="en-GB"/>
              </w:rPr>
              <w:t xml:space="preserve">PSM produce, assemble and distribute a vast amount of original programmes on a daily basis for TV and radio as well as online linear and on-demand. This requires numerous licences for copyright works and involves a huge number of audiovisual, musical and other underlying rights and a great variety of rightsholders. </w:t>
            </w:r>
          </w:p>
          <w:p w:rsidR="000E3450" w:rsidRPr="00810475" w:rsidRDefault="000E3450" w:rsidP="00A86C29">
            <w:pPr>
              <w:pStyle w:val="texte"/>
              <w:spacing w:line="276" w:lineRule="auto"/>
              <w:rPr>
                <w:color w:val="auto"/>
                <w:lang w:val="en-GB"/>
              </w:rPr>
            </w:pPr>
          </w:p>
        </w:tc>
      </w:tr>
      <w:tr w:rsidR="00F547E4" w:rsidRPr="00F22A09" w:rsidTr="00511509">
        <w:trPr>
          <w:trHeight w:val="2683"/>
        </w:trPr>
        <w:tc>
          <w:tcPr>
            <w:tcW w:w="1960" w:type="dxa"/>
          </w:tcPr>
          <w:p w:rsidR="00F547E4" w:rsidRPr="00F22A09" w:rsidRDefault="00F547E4" w:rsidP="00F22A09">
            <w:pPr>
              <w:pStyle w:val="INTRO"/>
              <w:spacing w:line="240" w:lineRule="auto"/>
              <w:rPr>
                <w:lang w:val="en-GB"/>
              </w:rPr>
            </w:pPr>
            <w:r w:rsidRPr="00F22A09">
              <w:rPr>
                <w:rFonts w:cs="Arial"/>
                <w:b/>
                <w:bCs/>
                <w:spacing w:val="-14"/>
                <w:sz w:val="22"/>
                <w:szCs w:val="16"/>
                <w:lang w:val="en-GB"/>
              </w:rPr>
              <w:t>Remunerating a huge variety of rightsholders</w:t>
            </w:r>
          </w:p>
        </w:tc>
        <w:tc>
          <w:tcPr>
            <w:tcW w:w="7362" w:type="dxa"/>
          </w:tcPr>
          <w:p w:rsidR="000E3450" w:rsidRPr="00810475" w:rsidRDefault="00F547E4" w:rsidP="00A86C29">
            <w:pPr>
              <w:pStyle w:val="texte"/>
              <w:spacing w:line="276" w:lineRule="auto"/>
              <w:rPr>
                <w:color w:val="auto"/>
                <w:lang w:val="en-GB"/>
              </w:rPr>
            </w:pPr>
            <w:r w:rsidRPr="00810475">
              <w:rPr>
                <w:color w:val="auto"/>
                <w:lang w:val="en-GB"/>
              </w:rPr>
              <w:t xml:space="preserve">Copyright licensing by PSM represents an unparalleled contribution to the creative economy. Royalties paid by PSM – as a result of copyright licensing - remunerate a vast number of rightholders for their protected works and are vital for the European cultural and creative sector. PSM organisations in the EU invest approximately EUR 20 billion in content every year. </w:t>
            </w:r>
          </w:p>
          <w:p w:rsidR="00A86C29" w:rsidRPr="00810475" w:rsidRDefault="00A86C29" w:rsidP="00A86C29">
            <w:pPr>
              <w:pStyle w:val="texte"/>
              <w:spacing w:line="276" w:lineRule="auto"/>
              <w:rPr>
                <w:color w:val="auto"/>
                <w:lang w:val="en-GB"/>
              </w:rPr>
            </w:pPr>
          </w:p>
          <w:p w:rsidR="00F547E4" w:rsidRPr="00810475" w:rsidRDefault="00F547E4" w:rsidP="00A86C29">
            <w:pPr>
              <w:pStyle w:val="texte"/>
              <w:spacing w:line="276" w:lineRule="auto"/>
              <w:rPr>
                <w:color w:val="auto"/>
                <w:lang w:val="en-GB"/>
              </w:rPr>
            </w:pPr>
            <w:r w:rsidRPr="00810475">
              <w:rPr>
                <w:color w:val="auto"/>
                <w:lang w:val="en-GB"/>
              </w:rPr>
              <w:t xml:space="preserve">Obtaining all the necessary licences implies a highly intensive and complex administrative process: a major PSM negotiates roughly 70,000 contracts per year with rightholders. In this regard, simple and efficient licensing mechanisms are a crucial instrument for PSM to ensure that all rights are appropriately cleared. </w:t>
            </w:r>
          </w:p>
          <w:p w:rsidR="000E3450" w:rsidRPr="00810475" w:rsidRDefault="000E3450" w:rsidP="00A86C29">
            <w:pPr>
              <w:pStyle w:val="texte"/>
              <w:spacing w:line="276" w:lineRule="auto"/>
              <w:rPr>
                <w:color w:val="auto"/>
                <w:lang w:val="en-GB"/>
              </w:rPr>
            </w:pPr>
          </w:p>
        </w:tc>
      </w:tr>
      <w:tr w:rsidR="00F547E4" w:rsidRPr="00F22A09" w:rsidTr="00511509">
        <w:tc>
          <w:tcPr>
            <w:tcW w:w="1960" w:type="dxa"/>
          </w:tcPr>
          <w:p w:rsidR="00F547E4" w:rsidRPr="00F22A09" w:rsidRDefault="00F547E4" w:rsidP="00F22A09">
            <w:pPr>
              <w:pStyle w:val="INTRO"/>
              <w:spacing w:line="240" w:lineRule="auto"/>
              <w:rPr>
                <w:rFonts w:cs="Arial"/>
                <w:b/>
                <w:bCs/>
                <w:spacing w:val="-14"/>
                <w:sz w:val="22"/>
                <w:szCs w:val="16"/>
                <w:lang w:val="en-GB"/>
              </w:rPr>
            </w:pPr>
            <w:r w:rsidRPr="00F22A09">
              <w:rPr>
                <w:rFonts w:cs="Arial"/>
                <w:b/>
                <w:bCs/>
                <w:spacing w:val="-14"/>
                <w:sz w:val="22"/>
                <w:szCs w:val="16"/>
                <w:lang w:val="en-GB"/>
              </w:rPr>
              <w:t xml:space="preserve">Contractual flexibility and territoriality are crucial  </w:t>
            </w:r>
          </w:p>
          <w:p w:rsidR="00F547E4" w:rsidRPr="00F22A09" w:rsidRDefault="00F547E4" w:rsidP="00F22A09">
            <w:pPr>
              <w:pStyle w:val="INTRO"/>
              <w:spacing w:line="240" w:lineRule="auto"/>
              <w:rPr>
                <w:rFonts w:cs="Arial"/>
                <w:b/>
                <w:bCs/>
                <w:spacing w:val="-14"/>
                <w:sz w:val="22"/>
                <w:szCs w:val="16"/>
                <w:lang w:val="en-GB"/>
              </w:rPr>
            </w:pPr>
          </w:p>
        </w:tc>
        <w:tc>
          <w:tcPr>
            <w:tcW w:w="7362" w:type="dxa"/>
          </w:tcPr>
          <w:p w:rsidR="00F547E4" w:rsidRPr="00810475" w:rsidRDefault="00F547E4" w:rsidP="00A86C29">
            <w:pPr>
              <w:spacing w:after="0" w:line="276" w:lineRule="auto"/>
              <w:rPr>
                <w:rFonts w:ascii="Arial" w:hAnsi="Arial" w:cs="Gotham Book"/>
                <w:spacing w:val="-3"/>
                <w:sz w:val="20"/>
                <w:szCs w:val="20"/>
                <w:lang w:val="en-GB"/>
              </w:rPr>
            </w:pPr>
            <w:r w:rsidRPr="00810475">
              <w:rPr>
                <w:rFonts w:ascii="Arial" w:hAnsi="Arial" w:cs="Gotham Book"/>
                <w:spacing w:val="-3"/>
                <w:sz w:val="20"/>
                <w:szCs w:val="20"/>
                <w:lang w:val="en-GB"/>
              </w:rPr>
              <w:t>Contractual flexibility must be maintained, as it enables rightsholders and users to negotiate how, when and where licensed content is offered, in order to best match consumer preferences. This flexibility hinges upon the possibility to exploit all types of works on a territorial basis, and audiovisual programmes in p</w:t>
            </w:r>
            <w:r w:rsidR="00A86C29" w:rsidRPr="00810475">
              <w:rPr>
                <w:rFonts w:ascii="Arial" w:hAnsi="Arial" w:cs="Gotham Book"/>
                <w:spacing w:val="-3"/>
                <w:sz w:val="20"/>
                <w:szCs w:val="20"/>
                <w:lang w:val="en-GB"/>
              </w:rPr>
              <w:t>articular on an exclusive basis.</w:t>
            </w:r>
          </w:p>
          <w:p w:rsidR="00A86C29" w:rsidRPr="00810475" w:rsidRDefault="00A86C29" w:rsidP="00A86C29">
            <w:pPr>
              <w:spacing w:after="0" w:line="276" w:lineRule="auto"/>
              <w:rPr>
                <w:rFonts w:ascii="Arial" w:hAnsi="Arial" w:cs="Gotham Book"/>
                <w:spacing w:val="-3"/>
                <w:sz w:val="20"/>
                <w:szCs w:val="20"/>
                <w:lang w:val="en-GB"/>
              </w:rPr>
            </w:pPr>
          </w:p>
          <w:p w:rsidR="000E3450" w:rsidRPr="00810475" w:rsidRDefault="00F547E4" w:rsidP="00A86C29">
            <w:pPr>
              <w:spacing w:after="0" w:line="276" w:lineRule="auto"/>
              <w:rPr>
                <w:rFonts w:ascii="Arial" w:hAnsi="Arial" w:cs="Gotham Book"/>
                <w:spacing w:val="-3"/>
                <w:sz w:val="20"/>
                <w:szCs w:val="20"/>
                <w:lang w:val="en-GB"/>
              </w:rPr>
            </w:pPr>
            <w:r w:rsidRPr="00810475">
              <w:rPr>
                <w:rFonts w:ascii="Arial" w:hAnsi="Arial" w:cs="Gotham Book"/>
                <w:spacing w:val="-3"/>
                <w:sz w:val="20"/>
                <w:szCs w:val="20"/>
                <w:lang w:val="en-GB"/>
              </w:rPr>
              <w:t>In practice, territoriality underpins the future funding of European works</w:t>
            </w:r>
            <w:r w:rsidRPr="00810475">
              <w:rPr>
                <w:rFonts w:ascii="Arial" w:hAnsi="Arial" w:cs="Gotham Book"/>
                <w:spacing w:val="-3"/>
                <w:sz w:val="20"/>
                <w:szCs w:val="20"/>
              </w:rPr>
              <w:t xml:space="preserve"> </w:t>
            </w:r>
            <w:r w:rsidRPr="00810475">
              <w:rPr>
                <w:rFonts w:ascii="Arial" w:hAnsi="Arial" w:cs="Gotham Book"/>
                <w:spacing w:val="-3"/>
                <w:sz w:val="20"/>
                <w:szCs w:val="20"/>
                <w:lang w:val="en-GB"/>
              </w:rPr>
              <w:t xml:space="preserve">and has a positive effect on the creative value chain and cultural diversity. By contrast, its abolition would have serious unintended consequences for audiences, limiting choice in terms of quantity and diversity. It would also tend to favour only the largest copyright users and intermediaries acting at a pan-European or global scale. </w:t>
            </w:r>
          </w:p>
          <w:p w:rsidR="00A86C29" w:rsidRPr="00810475" w:rsidRDefault="00A86C29" w:rsidP="00A86C29">
            <w:pPr>
              <w:spacing w:after="0" w:line="276" w:lineRule="auto"/>
              <w:rPr>
                <w:rFonts w:ascii="Arial" w:hAnsi="Arial" w:cs="Gotham Book"/>
                <w:spacing w:val="-3"/>
                <w:sz w:val="20"/>
                <w:szCs w:val="20"/>
                <w:lang w:val="en-GB"/>
              </w:rPr>
            </w:pPr>
          </w:p>
          <w:p w:rsidR="00F547E4" w:rsidRPr="00810475" w:rsidRDefault="0014178F" w:rsidP="00A86C29">
            <w:pPr>
              <w:spacing w:after="0" w:line="276" w:lineRule="auto"/>
              <w:rPr>
                <w:rFonts w:ascii="Arial" w:hAnsi="Arial" w:cs="Gotham Book"/>
                <w:spacing w:val="-3"/>
                <w:sz w:val="20"/>
                <w:szCs w:val="20"/>
                <w:shd w:val="clear" w:color="auto" w:fill="FFFFFF" w:themeFill="background1"/>
                <w:lang w:val="en-GB"/>
              </w:rPr>
            </w:pPr>
            <w:r w:rsidRPr="00810475">
              <w:rPr>
                <w:rFonts w:ascii="Arial" w:hAnsi="Arial" w:cs="Gotham Book"/>
                <w:spacing w:val="-3"/>
                <w:sz w:val="20"/>
                <w:szCs w:val="20"/>
                <w:shd w:val="clear" w:color="auto" w:fill="FFFFFF" w:themeFill="background1"/>
                <w:lang w:val="en-GB"/>
              </w:rPr>
              <w:t xml:space="preserve">In order to effectively ensure territoriality, it is </w:t>
            </w:r>
            <w:r w:rsidR="001C439C" w:rsidRPr="00810475">
              <w:rPr>
                <w:rFonts w:ascii="Arial" w:hAnsi="Arial" w:cs="Gotham Book"/>
                <w:spacing w:val="-3"/>
                <w:sz w:val="20"/>
                <w:szCs w:val="20"/>
                <w:shd w:val="clear" w:color="auto" w:fill="FFFFFF" w:themeFill="background1"/>
                <w:lang w:val="en-GB"/>
              </w:rPr>
              <w:t xml:space="preserve">also </w:t>
            </w:r>
            <w:r w:rsidRPr="00810475">
              <w:rPr>
                <w:rFonts w:ascii="Arial" w:hAnsi="Arial" w:cs="Gotham Book"/>
                <w:spacing w:val="-3"/>
                <w:sz w:val="20"/>
                <w:szCs w:val="20"/>
                <w:shd w:val="clear" w:color="auto" w:fill="FFFFFF" w:themeFill="background1"/>
                <w:lang w:val="en-GB"/>
              </w:rPr>
              <w:t>crucial to protect in all circumstances broadcasters’ prerogative to authorize or prohibit the retransmission of their broadcast signal on third-party platforms.</w:t>
            </w:r>
          </w:p>
          <w:p w:rsidR="000E3450" w:rsidRPr="00810475" w:rsidRDefault="000E3450" w:rsidP="00A86C29">
            <w:pPr>
              <w:spacing w:after="0" w:line="276" w:lineRule="auto"/>
              <w:rPr>
                <w:rFonts w:ascii="Arial" w:hAnsi="Arial" w:cs="Gotham Book"/>
                <w:spacing w:val="-3"/>
                <w:sz w:val="20"/>
                <w:szCs w:val="20"/>
                <w:lang w:val="en-GB"/>
              </w:rPr>
            </w:pPr>
          </w:p>
        </w:tc>
      </w:tr>
      <w:tr w:rsidR="00F547E4" w:rsidRPr="00F22A09" w:rsidTr="00511509">
        <w:trPr>
          <w:trHeight w:val="1417"/>
        </w:trPr>
        <w:tc>
          <w:tcPr>
            <w:tcW w:w="1960" w:type="dxa"/>
          </w:tcPr>
          <w:p w:rsidR="00F547E4" w:rsidRPr="00F22A09" w:rsidRDefault="00F547E4" w:rsidP="00F22A09">
            <w:pPr>
              <w:pStyle w:val="INTRO"/>
              <w:spacing w:line="240" w:lineRule="auto"/>
              <w:rPr>
                <w:lang w:val="en-GB"/>
              </w:rPr>
            </w:pPr>
            <w:r w:rsidRPr="00F22A09">
              <w:rPr>
                <w:rFonts w:cs="Arial"/>
                <w:b/>
                <w:bCs/>
                <w:spacing w:val="-14"/>
                <w:sz w:val="22"/>
                <w:szCs w:val="16"/>
                <w:lang w:val="en-GB"/>
              </w:rPr>
              <w:t>Copyright licensing fit for the digital age and media convergence</w:t>
            </w:r>
          </w:p>
        </w:tc>
        <w:tc>
          <w:tcPr>
            <w:tcW w:w="7362" w:type="dxa"/>
          </w:tcPr>
          <w:p w:rsidR="00F547E4" w:rsidRPr="00810475" w:rsidRDefault="00F547E4" w:rsidP="00A86C29">
            <w:pPr>
              <w:pStyle w:val="texte"/>
              <w:spacing w:line="276" w:lineRule="auto"/>
              <w:rPr>
                <w:color w:val="auto"/>
                <w:lang w:val="en-GB"/>
              </w:rPr>
            </w:pPr>
            <w:r w:rsidRPr="00810475">
              <w:rPr>
                <w:color w:val="auto"/>
                <w:lang w:val="en-GB"/>
              </w:rPr>
              <w:t xml:space="preserve">Today audiences rightfully expect to watch and listen to PSM programmes across devices on TV, radio or online. PSM programmes are, accordingly, made available for live viewing, as well as catch-up and on-demand. The framework for copyright licensing should thus be modernised on a technologically-neutral basis in order to cater for the wide range of devices and platforms available to viewers and listeners today. </w:t>
            </w:r>
          </w:p>
          <w:p w:rsidR="00F547E4" w:rsidRPr="00810475" w:rsidRDefault="00F547E4" w:rsidP="00A86C29">
            <w:pPr>
              <w:pStyle w:val="texte"/>
              <w:spacing w:line="276" w:lineRule="auto"/>
              <w:rPr>
                <w:color w:val="auto"/>
                <w:lang w:val="en-GB"/>
              </w:rPr>
            </w:pPr>
            <w:r w:rsidRPr="00810475">
              <w:rPr>
                <w:color w:val="auto"/>
                <w:lang w:val="en-GB"/>
              </w:rPr>
              <w:lastRenderedPageBreak/>
              <w:t>To enable broadcasters to offer cross-border services when and where they choose to do so, applying a technologically-neutral approach, collective licensing and the ‘country-of-origin’ principle would streamline complex licensing processes and ensure adequate remuneration for rightholders without undermining contractual flexibility.</w:t>
            </w:r>
          </w:p>
          <w:p w:rsidR="000E3450" w:rsidRPr="00810475" w:rsidRDefault="000E3450" w:rsidP="00A86C29">
            <w:pPr>
              <w:pStyle w:val="texte"/>
              <w:spacing w:line="276" w:lineRule="auto"/>
              <w:rPr>
                <w:color w:val="auto"/>
                <w:lang w:val="en-GB"/>
              </w:rPr>
            </w:pPr>
          </w:p>
        </w:tc>
      </w:tr>
      <w:tr w:rsidR="00F547E4" w:rsidRPr="00F22A09" w:rsidTr="00511509">
        <w:trPr>
          <w:trHeight w:val="4123"/>
        </w:trPr>
        <w:tc>
          <w:tcPr>
            <w:tcW w:w="1960" w:type="dxa"/>
          </w:tcPr>
          <w:p w:rsidR="00F547E4" w:rsidRPr="00F22A09" w:rsidRDefault="00F547E4" w:rsidP="00F22A09">
            <w:pPr>
              <w:pStyle w:val="INTRO"/>
              <w:spacing w:line="240" w:lineRule="auto"/>
              <w:rPr>
                <w:lang w:val="en-GB"/>
              </w:rPr>
            </w:pPr>
            <w:r w:rsidRPr="00F22A09">
              <w:rPr>
                <w:rFonts w:cs="Arial"/>
                <w:b/>
                <w:bCs/>
                <w:spacing w:val="-14"/>
                <w:sz w:val="22"/>
                <w:szCs w:val="16"/>
                <w:lang w:val="en-GB"/>
              </w:rPr>
              <w:lastRenderedPageBreak/>
              <w:t>A single applicable law to boost access to broadcasters’ online content</w:t>
            </w:r>
          </w:p>
        </w:tc>
        <w:tc>
          <w:tcPr>
            <w:tcW w:w="7362" w:type="dxa"/>
          </w:tcPr>
          <w:p w:rsidR="00F547E4" w:rsidRPr="00810475" w:rsidRDefault="00F547E4" w:rsidP="00A86C29">
            <w:pPr>
              <w:pStyle w:val="texte"/>
              <w:spacing w:line="276" w:lineRule="auto"/>
              <w:rPr>
                <w:color w:val="auto"/>
                <w:lang w:val="en-GB"/>
              </w:rPr>
            </w:pPr>
            <w:r w:rsidRPr="00810475">
              <w:rPr>
                <w:color w:val="auto"/>
                <w:lang w:val="en-GB"/>
              </w:rPr>
              <w:t xml:space="preserve">When a broadcaster is required to take into account different national copyright laws to offer a programme cross-border, the administrative burden renders it extremely complex to clear all the necessary rights. Considering that PSM offer free-to-air content for a national audience and are funded at national level, this additional burden implies a huge effort for a marginal outcome.  </w:t>
            </w:r>
            <w:r w:rsidRPr="00810475">
              <w:rPr>
                <w:color w:val="auto"/>
                <w:lang w:val="en-GB"/>
              </w:rPr>
              <w:tab/>
            </w:r>
          </w:p>
          <w:p w:rsidR="00A86C29" w:rsidRPr="00810475" w:rsidRDefault="00A86C29" w:rsidP="00A86C29">
            <w:pPr>
              <w:pStyle w:val="texte"/>
              <w:spacing w:line="276" w:lineRule="auto"/>
              <w:rPr>
                <w:color w:val="auto"/>
                <w:lang w:val="en-GB"/>
              </w:rPr>
            </w:pPr>
          </w:p>
          <w:p w:rsidR="00F547E4" w:rsidRPr="00810475" w:rsidRDefault="00F547E4" w:rsidP="00A86C29">
            <w:pPr>
              <w:pStyle w:val="texte"/>
              <w:spacing w:line="276" w:lineRule="auto"/>
              <w:rPr>
                <w:color w:val="auto"/>
              </w:rPr>
            </w:pPr>
            <w:r w:rsidRPr="00810475">
              <w:rPr>
                <w:color w:val="auto"/>
                <w:lang w:val="en-GB"/>
              </w:rPr>
              <w:t xml:space="preserve">A simple rights-clearance system which already exists for satellite TV should be extended to broadcasters’ online services. The 1993 Satellite and Cable Directive introduced the country-of-origin principle to define the applicable law for a single satellite broadcast, even if the signal covers 28 countries. </w:t>
            </w:r>
            <w:r w:rsidRPr="00810475">
              <w:rPr>
                <w:color w:val="auto"/>
              </w:rPr>
              <w:t xml:space="preserve">The value of the </w:t>
            </w:r>
            <w:r w:rsidR="0014178F" w:rsidRPr="00810475">
              <w:rPr>
                <w:color w:val="auto"/>
              </w:rPr>
              <w:t>license</w:t>
            </w:r>
            <w:r w:rsidRPr="00810475">
              <w:rPr>
                <w:color w:val="auto"/>
              </w:rPr>
              <w:t xml:space="preserve"> takes account of all parameters, such as the audience and the language.</w:t>
            </w:r>
          </w:p>
          <w:p w:rsidR="00A86C29" w:rsidRPr="00810475" w:rsidRDefault="00A86C29" w:rsidP="00A86C29">
            <w:pPr>
              <w:pStyle w:val="texte"/>
              <w:spacing w:line="276" w:lineRule="auto"/>
              <w:rPr>
                <w:color w:val="auto"/>
              </w:rPr>
            </w:pPr>
          </w:p>
          <w:p w:rsidR="00511509" w:rsidRPr="00810475" w:rsidRDefault="00F547E4" w:rsidP="00A86C29">
            <w:pPr>
              <w:pStyle w:val="texte"/>
              <w:spacing w:line="276" w:lineRule="auto"/>
              <w:rPr>
                <w:color w:val="auto"/>
                <w:lang w:val="en-GB"/>
              </w:rPr>
            </w:pPr>
            <w:r w:rsidRPr="00810475">
              <w:rPr>
                <w:color w:val="auto"/>
              </w:rPr>
              <w:t>In the framework of the</w:t>
            </w:r>
            <w:r w:rsidR="003D7038" w:rsidRPr="00810475">
              <w:rPr>
                <w:color w:val="auto"/>
              </w:rPr>
              <w:t>se</w:t>
            </w:r>
            <w:r w:rsidRPr="00810475">
              <w:rPr>
                <w:color w:val="auto"/>
              </w:rPr>
              <w:t xml:space="preserve"> principles,</w:t>
            </w:r>
            <w:r w:rsidR="0014178F" w:rsidRPr="00810475">
              <w:rPr>
                <w:color w:val="auto"/>
              </w:rPr>
              <w:t xml:space="preserve"> </w:t>
            </w:r>
            <w:r w:rsidR="0014178F" w:rsidRPr="00810475">
              <w:rPr>
                <w:color w:val="auto"/>
                <w:lang w:val="en-GB"/>
              </w:rPr>
              <w:t>enabling</w:t>
            </w:r>
            <w:r w:rsidRPr="00810475">
              <w:rPr>
                <w:color w:val="auto"/>
                <w:lang w:val="en-GB"/>
              </w:rPr>
              <w:t xml:space="preserve"> rights clearance via the same system for broadcasters’ online services would significantly simplify operations, strengthen legal certainty and break down a barrier for free-to-air broadcasters offering online, cross-border services in the Internal Market.</w:t>
            </w:r>
          </w:p>
          <w:p w:rsidR="00F547E4" w:rsidRPr="00810475" w:rsidRDefault="00F547E4" w:rsidP="00A86C29">
            <w:pPr>
              <w:pStyle w:val="texte"/>
              <w:spacing w:line="276" w:lineRule="auto"/>
              <w:rPr>
                <w:color w:val="auto"/>
                <w:lang w:val="en-GB"/>
              </w:rPr>
            </w:pPr>
            <w:r w:rsidRPr="00810475">
              <w:rPr>
                <w:color w:val="auto"/>
                <w:lang w:val="en-GB"/>
              </w:rPr>
              <w:t xml:space="preserve"> </w:t>
            </w:r>
          </w:p>
        </w:tc>
      </w:tr>
      <w:tr w:rsidR="00F547E4" w:rsidRPr="00F22A09" w:rsidTr="00511509">
        <w:trPr>
          <w:trHeight w:val="2769"/>
        </w:trPr>
        <w:tc>
          <w:tcPr>
            <w:tcW w:w="1960" w:type="dxa"/>
          </w:tcPr>
          <w:p w:rsidR="00F547E4" w:rsidRPr="000E3450" w:rsidRDefault="00F547E4" w:rsidP="00F22A09">
            <w:pPr>
              <w:pStyle w:val="INTRO"/>
              <w:spacing w:line="240" w:lineRule="auto"/>
              <w:rPr>
                <w:rFonts w:cs="Arial"/>
                <w:b/>
                <w:bCs/>
                <w:spacing w:val="-14"/>
                <w:sz w:val="22"/>
                <w:szCs w:val="16"/>
                <w:lang w:val="en-GB"/>
              </w:rPr>
            </w:pPr>
            <w:r w:rsidRPr="00F22A09">
              <w:rPr>
                <w:rFonts w:cs="Arial"/>
                <w:b/>
                <w:bCs/>
                <w:spacing w:val="-14"/>
                <w:sz w:val="22"/>
                <w:szCs w:val="16"/>
                <w:lang w:val="en-GB"/>
              </w:rPr>
              <w:t xml:space="preserve">Platform neutral retransmission </w:t>
            </w:r>
          </w:p>
          <w:p w:rsidR="00F547E4" w:rsidRPr="00DA415A" w:rsidRDefault="00F547E4" w:rsidP="00F22A09">
            <w:pPr>
              <w:pStyle w:val="INTRO"/>
              <w:spacing w:line="240" w:lineRule="auto"/>
              <w:rPr>
                <w:b/>
                <w:color w:val="FF0000"/>
                <w:sz w:val="22"/>
                <w:szCs w:val="22"/>
                <w:lang w:val="en-GB"/>
              </w:rPr>
            </w:pPr>
          </w:p>
        </w:tc>
        <w:tc>
          <w:tcPr>
            <w:tcW w:w="7362" w:type="dxa"/>
          </w:tcPr>
          <w:p w:rsidR="00F547E4" w:rsidRPr="00810475" w:rsidRDefault="00F547E4" w:rsidP="00A86C29">
            <w:pPr>
              <w:pStyle w:val="texte"/>
              <w:spacing w:line="276" w:lineRule="auto"/>
              <w:rPr>
                <w:color w:val="auto"/>
                <w:lang w:val="en-GB"/>
              </w:rPr>
            </w:pPr>
            <w:r w:rsidRPr="00810475">
              <w:rPr>
                <w:color w:val="auto"/>
                <w:lang w:val="en-GB"/>
              </w:rPr>
              <w:t>The Satellite and Cable Directive also introduced collective licensing of the underlying rights for the simultaneous retransmission of TV programmes in other Member States which is only applicable to cable TV. This system should be equally applied to similar cases where a broadcaster decides to authorise the simultaneous and identical programme retransmission over third party platforms.</w:t>
            </w:r>
          </w:p>
          <w:p w:rsidR="009B606F" w:rsidRPr="00810475" w:rsidRDefault="009B606F" w:rsidP="00A86C29">
            <w:pPr>
              <w:pStyle w:val="texte"/>
              <w:spacing w:line="276" w:lineRule="auto"/>
              <w:rPr>
                <w:strike/>
                <w:color w:val="auto"/>
                <w:lang w:val="en-GB"/>
              </w:rPr>
            </w:pPr>
          </w:p>
          <w:p w:rsidR="00F547E4" w:rsidRPr="00810475" w:rsidRDefault="00F547E4" w:rsidP="00A86C29">
            <w:pPr>
              <w:pStyle w:val="texte"/>
              <w:spacing w:line="276" w:lineRule="auto"/>
              <w:rPr>
                <w:color w:val="auto"/>
                <w:lang w:val="en-GB"/>
              </w:rPr>
            </w:pPr>
            <w:r w:rsidRPr="00810475">
              <w:rPr>
                <w:color w:val="auto"/>
                <w:lang w:val="en-GB"/>
              </w:rPr>
              <w:t>In addition, applying a similar system for the underlying rights for the re-use of broadcasters’ on-demand services on third-party platforms (with mandatory collective licensing or extended collective licensing) would help where broadcasters wish to make these services available in other EU Member States.</w:t>
            </w:r>
          </w:p>
          <w:p w:rsidR="00511509" w:rsidRPr="00810475" w:rsidRDefault="00511509" w:rsidP="00A86C29">
            <w:pPr>
              <w:pStyle w:val="texte"/>
              <w:spacing w:line="276" w:lineRule="auto"/>
              <w:rPr>
                <w:color w:val="auto"/>
                <w:lang w:val="en-GB"/>
              </w:rPr>
            </w:pPr>
          </w:p>
        </w:tc>
      </w:tr>
      <w:tr w:rsidR="00F547E4" w:rsidRPr="00F22A09" w:rsidTr="00511509">
        <w:tc>
          <w:tcPr>
            <w:tcW w:w="1960" w:type="dxa"/>
          </w:tcPr>
          <w:p w:rsidR="00F547E4" w:rsidRPr="00F22A09" w:rsidRDefault="00F547E4" w:rsidP="00F22A09">
            <w:pPr>
              <w:pStyle w:val="INTRO"/>
              <w:spacing w:line="240" w:lineRule="auto"/>
              <w:rPr>
                <w:rFonts w:cs="Arial"/>
                <w:b/>
                <w:bCs/>
                <w:spacing w:val="-14"/>
                <w:sz w:val="22"/>
                <w:szCs w:val="16"/>
                <w:lang w:val="en-GB"/>
              </w:rPr>
            </w:pPr>
            <w:r w:rsidRPr="00F22A09">
              <w:rPr>
                <w:rFonts w:cs="Arial"/>
                <w:b/>
                <w:bCs/>
                <w:spacing w:val="-14"/>
                <w:sz w:val="22"/>
                <w:szCs w:val="16"/>
                <w:lang w:val="en-GB"/>
              </w:rPr>
              <w:t>ECL: a multi-purpose solution for digital content</w:t>
            </w:r>
          </w:p>
        </w:tc>
        <w:tc>
          <w:tcPr>
            <w:tcW w:w="7362" w:type="dxa"/>
          </w:tcPr>
          <w:p w:rsidR="00F547E4" w:rsidRPr="00810475" w:rsidRDefault="00F547E4" w:rsidP="00A86C29">
            <w:pPr>
              <w:pStyle w:val="texte"/>
              <w:spacing w:line="276" w:lineRule="auto"/>
              <w:rPr>
                <w:color w:val="auto"/>
                <w:lang w:val="en-GB"/>
              </w:rPr>
            </w:pPr>
            <w:r w:rsidRPr="00810475">
              <w:rPr>
                <w:color w:val="auto"/>
                <w:lang w:val="en-GB"/>
              </w:rPr>
              <w:t xml:space="preserve">Extended collective licensing (ECL) systems already exist in the copyright laws of several EU Member States. Based on voluntary agreements between copyright users and rightholders’ representatives (e.g. a collecting society), they offer specific solutions for the most complex licensing cases. </w:t>
            </w:r>
          </w:p>
        </w:tc>
      </w:tr>
    </w:tbl>
    <w:p w:rsidR="00F547E4" w:rsidRPr="000E3450" w:rsidRDefault="00925585" w:rsidP="00455DD4">
      <w:pPr>
        <w:pStyle w:val="INTRO"/>
        <w:spacing w:before="240" w:line="240" w:lineRule="auto"/>
        <w:ind w:left="709" w:right="363"/>
        <w:rPr>
          <w:b/>
          <w:sz w:val="20"/>
          <w:szCs w:val="21"/>
          <w:lang w:val="en-GB"/>
        </w:rPr>
      </w:pPr>
      <w:r w:rsidRPr="00810475">
        <w:rPr>
          <w:b/>
          <w:noProof/>
          <w:sz w:val="20"/>
          <w:szCs w:val="21"/>
        </w:rPr>
        <mc:AlternateContent>
          <mc:Choice Requires="wps">
            <w:drawing>
              <wp:anchor distT="0" distB="0" distL="114300" distR="114300" simplePos="0" relativeHeight="251657728" behindDoc="1" locked="0" layoutInCell="1" allowOverlap="1" wp14:anchorId="2A986F07" wp14:editId="34E8320A">
                <wp:simplePos x="0" y="0"/>
                <wp:positionH relativeFrom="column">
                  <wp:posOffset>13970</wp:posOffset>
                </wp:positionH>
                <wp:positionV relativeFrom="paragraph">
                  <wp:posOffset>79375</wp:posOffset>
                </wp:positionV>
                <wp:extent cx="5829300" cy="16764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676400"/>
                        </a:xfrm>
                        <a:prstGeom prst="rect">
                          <a:avLst/>
                        </a:prstGeom>
                        <a:solidFill>
                          <a:srgbClr val="FFFFFF"/>
                        </a:solidFill>
                        <a:ln w="6350">
                          <a:solidFill>
                            <a:srgbClr val="14489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C59C4" id="Rectangle 4" o:spid="_x0000_s1026" style="position:absolute;margin-left:1.1pt;margin-top:6.25pt;width:459pt;height:13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" strokecolor="#14489f" strokeweight=".5pt"/>
            </w:pict>
          </mc:Fallback>
        </mc:AlternateContent>
      </w:r>
      <w:r w:rsidR="00F547E4" w:rsidRPr="000E3450">
        <w:rPr>
          <w:b/>
          <w:sz w:val="20"/>
          <w:szCs w:val="21"/>
          <w:lang w:val="en-GB"/>
        </w:rPr>
        <w:t xml:space="preserve">While the </w:t>
      </w:r>
      <w:r w:rsidR="00F547E4" w:rsidRPr="00810475">
        <w:rPr>
          <w:b/>
          <w:sz w:val="20"/>
          <w:szCs w:val="21"/>
          <w:lang w:val="en-GB"/>
        </w:rPr>
        <w:t>overall legal framework for</w:t>
      </w:r>
      <w:r w:rsidR="00F547E4" w:rsidRPr="000E3450">
        <w:rPr>
          <w:b/>
          <w:sz w:val="20"/>
          <w:szCs w:val="21"/>
          <w:lang w:val="en-GB"/>
        </w:rPr>
        <w:t xml:space="preserve"> copyright remains appropriate, the licensing process needs to be updated to foster the availability of media content. Existing solutions should be adapted on a technologically-neutral basis:</w:t>
      </w:r>
    </w:p>
    <w:p w:rsidR="00F547E4" w:rsidRPr="000E3450" w:rsidRDefault="00F547E4" w:rsidP="00455DD4">
      <w:pPr>
        <w:pStyle w:val="INTRO"/>
        <w:numPr>
          <w:ilvl w:val="0"/>
          <w:numId w:val="2"/>
        </w:numPr>
        <w:spacing w:before="120" w:line="240" w:lineRule="auto"/>
        <w:ind w:left="1066" w:right="363" w:hanging="357"/>
        <w:rPr>
          <w:b/>
          <w:sz w:val="20"/>
          <w:szCs w:val="21"/>
          <w:lang w:val="en-GB"/>
        </w:rPr>
      </w:pPr>
      <w:r w:rsidRPr="000E3450">
        <w:rPr>
          <w:b/>
          <w:sz w:val="20"/>
          <w:szCs w:val="21"/>
          <w:lang w:val="en-GB"/>
        </w:rPr>
        <w:t xml:space="preserve">A single </w:t>
      </w:r>
      <w:r w:rsidRPr="00810475">
        <w:rPr>
          <w:b/>
          <w:sz w:val="20"/>
          <w:szCs w:val="21"/>
          <w:lang w:val="en-GB"/>
        </w:rPr>
        <w:t>applicable law</w:t>
      </w:r>
      <w:r w:rsidRPr="000E3450">
        <w:rPr>
          <w:b/>
          <w:sz w:val="20"/>
          <w:szCs w:val="21"/>
          <w:lang w:val="en-GB"/>
        </w:rPr>
        <w:t xml:space="preserve"> for broadcasters’ own online media services (“Satellite model”);</w:t>
      </w:r>
    </w:p>
    <w:p w:rsidR="00F547E4" w:rsidRPr="000E3450" w:rsidRDefault="00F547E4" w:rsidP="00455DD4">
      <w:pPr>
        <w:pStyle w:val="INTRO"/>
        <w:numPr>
          <w:ilvl w:val="0"/>
          <w:numId w:val="2"/>
        </w:numPr>
        <w:spacing w:before="120" w:line="240" w:lineRule="auto"/>
        <w:ind w:left="1066" w:right="363" w:hanging="357"/>
        <w:rPr>
          <w:b/>
          <w:sz w:val="20"/>
          <w:szCs w:val="21"/>
          <w:lang w:val="en-GB"/>
        </w:rPr>
      </w:pPr>
      <w:r w:rsidRPr="000E3450">
        <w:rPr>
          <w:b/>
          <w:sz w:val="20"/>
          <w:szCs w:val="21"/>
          <w:lang w:val="en-GB"/>
        </w:rPr>
        <w:t>The “cable licensing model” for the underlying rights of linear programmes on third-party platforms;</w:t>
      </w:r>
    </w:p>
    <w:p w:rsidR="00F547E4" w:rsidRPr="000E3450" w:rsidRDefault="00F547E4" w:rsidP="00BD226C">
      <w:pPr>
        <w:pStyle w:val="INTRO"/>
        <w:numPr>
          <w:ilvl w:val="0"/>
          <w:numId w:val="2"/>
        </w:numPr>
        <w:spacing w:before="120" w:line="240" w:lineRule="auto"/>
        <w:ind w:right="363"/>
        <w:rPr>
          <w:b/>
          <w:sz w:val="20"/>
          <w:szCs w:val="21"/>
          <w:lang w:val="en-GB"/>
        </w:rPr>
      </w:pPr>
      <w:r w:rsidRPr="000E3450">
        <w:rPr>
          <w:b/>
          <w:sz w:val="20"/>
          <w:szCs w:val="21"/>
          <w:lang w:val="en-GB"/>
        </w:rPr>
        <w:t xml:space="preserve">Extended or mandatory collective licensing for the underlying rights of </w:t>
      </w:r>
      <w:r w:rsidRPr="00810475">
        <w:rPr>
          <w:b/>
          <w:sz w:val="20"/>
          <w:szCs w:val="21"/>
          <w:lang w:val="en-GB"/>
        </w:rPr>
        <w:t>on-demand</w:t>
      </w:r>
      <w:r w:rsidRPr="000E3450">
        <w:rPr>
          <w:b/>
          <w:sz w:val="20"/>
          <w:szCs w:val="21"/>
          <w:lang w:val="en-GB"/>
        </w:rPr>
        <w:t xml:space="preserve"> media services on third-party platforms. </w:t>
      </w:r>
    </w:p>
    <w:p w:rsidR="00F547E4" w:rsidRPr="000E3450" w:rsidRDefault="00F547E4" w:rsidP="00455DD4">
      <w:pPr>
        <w:spacing w:after="0"/>
        <w:rPr>
          <w:sz w:val="21"/>
          <w:szCs w:val="21"/>
          <w:lang w:val="en-GB"/>
        </w:rPr>
      </w:pPr>
    </w:p>
    <w:p w:rsidR="00F547E4" w:rsidRDefault="00F547E4" w:rsidP="009B606F">
      <w:pPr>
        <w:pStyle w:val="Intergauche"/>
        <w:spacing w:line="240" w:lineRule="auto"/>
        <w:rPr>
          <w:spacing w:val="-3"/>
          <w:sz w:val="21"/>
          <w:szCs w:val="21"/>
          <w:lang w:val="en-GB"/>
        </w:rPr>
      </w:pPr>
      <w:r w:rsidRPr="000E3450">
        <w:rPr>
          <w:sz w:val="21"/>
          <w:szCs w:val="21"/>
          <w:lang w:val="en-GB"/>
        </w:rPr>
        <w:t>EU</w:t>
      </w:r>
      <w:r w:rsidRPr="000E3450">
        <w:rPr>
          <w:spacing w:val="-2"/>
          <w:sz w:val="21"/>
          <w:szCs w:val="21"/>
          <w:lang w:val="en-GB"/>
        </w:rPr>
        <w:t xml:space="preserve"> </w:t>
      </w:r>
      <w:r w:rsidRPr="000E3450">
        <w:rPr>
          <w:spacing w:val="-3"/>
          <w:sz w:val="21"/>
          <w:szCs w:val="21"/>
          <w:lang w:val="en-GB"/>
        </w:rPr>
        <w:t>State of play</w:t>
      </w:r>
    </w:p>
    <w:p w:rsidR="009B606F" w:rsidRPr="000E3450" w:rsidRDefault="009B606F" w:rsidP="009B606F">
      <w:pPr>
        <w:pStyle w:val="Intergauche"/>
        <w:spacing w:line="240" w:lineRule="auto"/>
        <w:rPr>
          <w:spacing w:val="-3"/>
          <w:sz w:val="21"/>
          <w:szCs w:val="21"/>
          <w:lang w:val="en-GB"/>
        </w:rPr>
      </w:pPr>
    </w:p>
    <w:p w:rsidR="0014178F" w:rsidRPr="00AE2D16" w:rsidRDefault="00F547E4" w:rsidP="009B606F">
      <w:pPr>
        <w:pStyle w:val="INTRO"/>
        <w:spacing w:before="0" w:line="276" w:lineRule="auto"/>
        <w:ind w:right="363"/>
        <w:rPr>
          <w:rFonts w:cs="Gotham Book"/>
          <w:color w:val="231F20"/>
          <w:spacing w:val="-3"/>
          <w:sz w:val="20"/>
          <w:szCs w:val="20"/>
          <w:lang w:val="en-GB"/>
        </w:rPr>
      </w:pPr>
      <w:r w:rsidRPr="007B4CC1">
        <w:rPr>
          <w:rFonts w:cs="Gotham Book"/>
          <w:color w:val="231F20"/>
          <w:spacing w:val="-3"/>
          <w:sz w:val="20"/>
          <w:szCs w:val="20"/>
          <w:lang w:val="en-GB"/>
        </w:rPr>
        <w:t>A review of EU copyright legislation has been presented as a policy priority for the European Commission and a proposal could be presented by the end of autumn 2015. As part of the Digital Single Market strategy, the European Commission has also announced a review of the 1993 Cable and Satellite Directive to assess the need to enlarge its scope to broadcasters’ online transmissions.</w:t>
      </w:r>
      <w:r w:rsidRPr="00A907BA">
        <w:rPr>
          <w:rFonts w:cs="Gotham Book"/>
          <w:color w:val="231F20"/>
          <w:spacing w:val="-3"/>
          <w:sz w:val="20"/>
          <w:szCs w:val="20"/>
          <w:lang w:val="en-GB"/>
        </w:rPr>
        <w:t xml:space="preserve"> </w:t>
      </w:r>
    </w:p>
    <w:sectPr w:rsidR="0014178F" w:rsidRPr="00AE2D16" w:rsidSect="00142030">
      <w:footerReference w:type="default" r:id="rId7"/>
      <w:headerReference w:type="first" r:id="rId8"/>
      <w:footerReference w:type="first" r:id="rId9"/>
      <w:pgSz w:w="11906" w:h="16838" w:code="9"/>
      <w:pgMar w:top="1134" w:right="1418" w:bottom="1134" w:left="1418" w:header="709" w:footer="3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4C7" w:rsidRPr="00142030" w:rsidRDefault="004F04C7" w:rsidP="00142030">
      <w:pPr>
        <w:spacing w:after="0"/>
      </w:pPr>
      <w:r>
        <w:separator/>
      </w:r>
    </w:p>
  </w:endnote>
  <w:endnote w:type="continuationSeparator" w:id="0">
    <w:p w:rsidR="004F04C7" w:rsidRPr="00142030" w:rsidRDefault="004F04C7" w:rsidP="001420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otham Light">
    <w:altName w:val="Arial"/>
    <w:panose1 w:val="00000000000000000000"/>
    <w:charset w:val="00"/>
    <w:family w:val="moder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Gotham Black">
    <w:altName w:val="Times New Roman"/>
    <w:panose1 w:val="00000000000000000000"/>
    <w:charset w:val="00"/>
    <w:family w:val="auto"/>
    <w:notTrueType/>
    <w:pitch w:val="variable"/>
    <w:sig w:usb0="00000003" w:usb1="00000000" w:usb2="00000000" w:usb3="00000000" w:csb0="00000001" w:csb1="00000000"/>
  </w:font>
  <w:font w:name="Gotham 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7E4" w:rsidRPr="00D52548" w:rsidRDefault="00F547E4" w:rsidP="00142030">
    <w:pPr>
      <w:spacing w:before="38" w:after="0"/>
      <w:ind w:right="-69"/>
      <w:rPr>
        <w:rFonts w:ascii="Arial" w:hAnsi="Arial" w:cs="Arial"/>
        <w:sz w:val="16"/>
        <w:szCs w:val="16"/>
      </w:rPr>
    </w:pPr>
    <w:r w:rsidRPr="00D52548">
      <w:rPr>
        <w:rFonts w:ascii="Arial" w:hAnsi="Arial" w:cs="Arial"/>
        <w:b/>
        <w:bCs/>
        <w:color w:val="231F20"/>
        <w:spacing w:val="-2"/>
        <w:sz w:val="16"/>
        <w:szCs w:val="16"/>
      </w:rPr>
      <w:t>EUROPEA</w:t>
    </w:r>
    <w:r w:rsidRPr="00D52548">
      <w:rPr>
        <w:rFonts w:ascii="Arial" w:hAnsi="Arial" w:cs="Arial"/>
        <w:b/>
        <w:bCs/>
        <w:color w:val="231F20"/>
        <w:sz w:val="16"/>
        <w:szCs w:val="16"/>
      </w:rPr>
      <w:t>N</w:t>
    </w:r>
    <w:r w:rsidRPr="00D52548">
      <w:rPr>
        <w:rFonts w:ascii="Arial" w:hAnsi="Arial" w:cs="Arial"/>
        <w:b/>
        <w:bCs/>
        <w:color w:val="231F20"/>
        <w:spacing w:val="27"/>
        <w:sz w:val="16"/>
        <w:szCs w:val="16"/>
      </w:rPr>
      <w:t xml:space="preserve"> </w:t>
    </w:r>
    <w:r w:rsidRPr="00D52548">
      <w:rPr>
        <w:rFonts w:ascii="Arial" w:hAnsi="Arial" w:cs="Arial"/>
        <w:b/>
        <w:bCs/>
        <w:color w:val="231F20"/>
        <w:spacing w:val="-2"/>
        <w:w w:val="105"/>
        <w:sz w:val="16"/>
        <w:szCs w:val="16"/>
      </w:rPr>
      <w:t>BR</w:t>
    </w:r>
    <w:r w:rsidRPr="00D52548">
      <w:rPr>
        <w:rFonts w:ascii="Arial" w:hAnsi="Arial" w:cs="Arial"/>
        <w:b/>
        <w:bCs/>
        <w:color w:val="231F20"/>
        <w:spacing w:val="-9"/>
        <w:w w:val="105"/>
        <w:sz w:val="16"/>
        <w:szCs w:val="16"/>
      </w:rPr>
      <w:t>O</w:t>
    </w:r>
    <w:r w:rsidRPr="00D52548">
      <w:rPr>
        <w:rFonts w:ascii="Arial" w:hAnsi="Arial" w:cs="Arial"/>
        <w:b/>
        <w:bCs/>
        <w:color w:val="231F20"/>
        <w:spacing w:val="-2"/>
        <w:w w:val="105"/>
        <w:sz w:val="16"/>
        <w:szCs w:val="16"/>
      </w:rPr>
      <w:t>ADC</w:t>
    </w:r>
    <w:r w:rsidRPr="00D52548">
      <w:rPr>
        <w:rFonts w:ascii="Arial" w:hAnsi="Arial" w:cs="Arial"/>
        <w:b/>
        <w:bCs/>
        <w:color w:val="231F20"/>
        <w:spacing w:val="-3"/>
        <w:w w:val="105"/>
        <w:sz w:val="16"/>
        <w:szCs w:val="16"/>
      </w:rPr>
      <w:t>A</w:t>
    </w:r>
    <w:r w:rsidRPr="00D52548">
      <w:rPr>
        <w:rFonts w:ascii="Arial" w:hAnsi="Arial" w:cs="Arial"/>
        <w:b/>
        <w:bCs/>
        <w:color w:val="231F20"/>
        <w:spacing w:val="-4"/>
        <w:w w:val="105"/>
        <w:sz w:val="16"/>
        <w:szCs w:val="16"/>
      </w:rPr>
      <w:t>S</w:t>
    </w:r>
    <w:r w:rsidRPr="00D52548">
      <w:rPr>
        <w:rFonts w:ascii="Arial" w:hAnsi="Arial" w:cs="Arial"/>
        <w:b/>
        <w:bCs/>
        <w:color w:val="231F20"/>
        <w:spacing w:val="-2"/>
        <w:w w:val="105"/>
        <w:sz w:val="16"/>
        <w:szCs w:val="16"/>
      </w:rPr>
      <w:t>TIN</w:t>
    </w:r>
    <w:r w:rsidRPr="00D52548">
      <w:rPr>
        <w:rFonts w:ascii="Arial" w:hAnsi="Arial" w:cs="Arial"/>
        <w:b/>
        <w:bCs/>
        <w:color w:val="231F20"/>
        <w:w w:val="105"/>
        <w:sz w:val="16"/>
        <w:szCs w:val="16"/>
      </w:rPr>
      <w:t>G</w:t>
    </w:r>
    <w:r w:rsidRPr="00D52548">
      <w:rPr>
        <w:rFonts w:ascii="Arial" w:hAnsi="Arial" w:cs="Arial"/>
        <w:b/>
        <w:bCs/>
        <w:color w:val="231F20"/>
        <w:spacing w:val="-11"/>
        <w:w w:val="105"/>
        <w:sz w:val="16"/>
        <w:szCs w:val="16"/>
      </w:rPr>
      <w:t xml:space="preserve"> </w:t>
    </w:r>
    <w:r w:rsidRPr="00D52548">
      <w:rPr>
        <w:rFonts w:ascii="Arial" w:hAnsi="Arial" w:cs="Arial"/>
        <w:b/>
        <w:bCs/>
        <w:color w:val="231F20"/>
        <w:spacing w:val="-2"/>
        <w:w w:val="109"/>
        <w:sz w:val="16"/>
        <w:szCs w:val="16"/>
      </w:rPr>
      <w:t>UNION</w:t>
    </w:r>
    <w:r w:rsidRPr="00D52548">
      <w:rPr>
        <w:rFonts w:ascii="Arial" w:hAnsi="Arial" w:cs="Arial"/>
        <w:b/>
        <w:bCs/>
        <w:color w:val="231F20"/>
        <w:spacing w:val="-2"/>
        <w:w w:val="109"/>
        <w:sz w:val="16"/>
        <w:szCs w:val="16"/>
      </w:rPr>
      <w:tab/>
    </w:r>
    <w:r w:rsidRPr="00D52548">
      <w:rPr>
        <w:rFonts w:ascii="Arial" w:hAnsi="Arial" w:cs="Arial"/>
        <w:color w:val="231F20"/>
        <w:spacing w:val="-22"/>
        <w:sz w:val="16"/>
        <w:szCs w:val="16"/>
      </w:rPr>
      <w:t>T</w:t>
    </w:r>
    <w:r w:rsidRPr="00D52548">
      <w:rPr>
        <w:rFonts w:ascii="Arial" w:hAnsi="Arial" w:cs="Arial"/>
        <w:color w:val="231F20"/>
        <w:spacing w:val="-2"/>
        <w:sz w:val="16"/>
        <w:szCs w:val="16"/>
      </w:rPr>
      <w:t>el</w:t>
    </w:r>
    <w:r w:rsidRPr="00D52548">
      <w:rPr>
        <w:rFonts w:ascii="Arial" w:hAnsi="Arial" w:cs="Arial"/>
        <w:color w:val="231F20"/>
        <w:sz w:val="16"/>
        <w:szCs w:val="16"/>
      </w:rPr>
      <w:t>.</w:t>
    </w:r>
    <w:r w:rsidRPr="00D52548">
      <w:rPr>
        <w:rFonts w:ascii="Arial" w:hAnsi="Arial" w:cs="Arial"/>
        <w:color w:val="231F20"/>
        <w:spacing w:val="-13"/>
        <w:sz w:val="16"/>
        <w:szCs w:val="16"/>
      </w:rPr>
      <w:t xml:space="preserve"> </w:t>
    </w:r>
    <w:r w:rsidRPr="00D52548">
      <w:rPr>
        <w:rFonts w:ascii="Arial" w:hAnsi="Arial" w:cs="Arial"/>
        <w:color w:val="231F20"/>
        <w:spacing w:val="-2"/>
        <w:sz w:val="16"/>
        <w:szCs w:val="16"/>
      </w:rPr>
      <w:t>+3</w:t>
    </w:r>
    <w:r w:rsidRPr="00D52548">
      <w:rPr>
        <w:rFonts w:ascii="Arial" w:hAnsi="Arial" w:cs="Arial"/>
        <w:color w:val="231F20"/>
        <w:sz w:val="16"/>
        <w:szCs w:val="16"/>
      </w:rPr>
      <w:t>2</w:t>
    </w:r>
    <w:r w:rsidRPr="00D52548">
      <w:rPr>
        <w:rFonts w:ascii="Arial" w:hAnsi="Arial" w:cs="Arial"/>
        <w:color w:val="231F20"/>
        <w:spacing w:val="-13"/>
        <w:sz w:val="16"/>
        <w:szCs w:val="16"/>
      </w:rPr>
      <w:t xml:space="preserve"> </w:t>
    </w:r>
    <w:r>
      <w:rPr>
        <w:rFonts w:ascii="Arial" w:hAnsi="Arial" w:cs="Arial"/>
        <w:color w:val="231F20"/>
        <w:sz w:val="16"/>
        <w:szCs w:val="16"/>
      </w:rPr>
      <w:t>2 2</w:t>
    </w:r>
    <w:r w:rsidRPr="00D52548">
      <w:rPr>
        <w:rFonts w:ascii="Arial" w:hAnsi="Arial" w:cs="Arial"/>
        <w:color w:val="231F20"/>
        <w:spacing w:val="-2"/>
        <w:sz w:val="16"/>
        <w:szCs w:val="16"/>
      </w:rPr>
      <w:t>8</w:t>
    </w:r>
    <w:r w:rsidRPr="00D52548">
      <w:rPr>
        <w:rFonts w:ascii="Arial" w:hAnsi="Arial" w:cs="Arial"/>
        <w:color w:val="231F20"/>
        <w:sz w:val="16"/>
        <w:szCs w:val="16"/>
      </w:rPr>
      <w:t>6</w:t>
    </w:r>
    <w:r w:rsidRPr="00D52548">
      <w:rPr>
        <w:rFonts w:ascii="Arial" w:hAnsi="Arial" w:cs="Arial"/>
        <w:color w:val="231F20"/>
        <w:spacing w:val="-13"/>
        <w:sz w:val="16"/>
        <w:szCs w:val="16"/>
      </w:rPr>
      <w:t xml:space="preserve"> </w:t>
    </w:r>
    <w:r w:rsidRPr="00D52548">
      <w:rPr>
        <w:rFonts w:ascii="Arial" w:hAnsi="Arial" w:cs="Arial"/>
        <w:color w:val="231F20"/>
        <w:spacing w:val="-2"/>
        <w:sz w:val="16"/>
        <w:szCs w:val="16"/>
      </w:rPr>
      <w:t>9115</w:t>
    </w:r>
  </w:p>
  <w:p w:rsidR="00F547E4" w:rsidRPr="000E3450" w:rsidRDefault="00F547E4" w:rsidP="00142030">
    <w:pPr>
      <w:spacing w:before="22" w:after="0"/>
      <w:ind w:right="-20"/>
      <w:rPr>
        <w:rFonts w:ascii="Arial" w:hAnsi="Arial" w:cs="Arial"/>
        <w:sz w:val="16"/>
        <w:szCs w:val="16"/>
        <w:lang w:val="en-GB"/>
      </w:rPr>
    </w:pPr>
    <w:r w:rsidRPr="000E3450">
      <w:rPr>
        <w:rFonts w:ascii="Arial" w:hAnsi="Arial" w:cs="Arial"/>
        <w:color w:val="231F20"/>
        <w:spacing w:val="-2"/>
        <w:sz w:val="16"/>
        <w:szCs w:val="16"/>
        <w:lang w:val="en-GB"/>
      </w:rPr>
      <w:t>BRU</w:t>
    </w:r>
    <w:r w:rsidRPr="000E3450">
      <w:rPr>
        <w:rFonts w:ascii="Arial" w:hAnsi="Arial" w:cs="Arial"/>
        <w:color w:val="231F20"/>
        <w:spacing w:val="-3"/>
        <w:sz w:val="16"/>
        <w:szCs w:val="16"/>
        <w:lang w:val="en-GB"/>
      </w:rPr>
      <w:t>S</w:t>
    </w:r>
    <w:r w:rsidRPr="000E3450">
      <w:rPr>
        <w:rFonts w:ascii="Arial" w:hAnsi="Arial" w:cs="Arial"/>
        <w:color w:val="231F20"/>
        <w:spacing w:val="-2"/>
        <w:sz w:val="16"/>
        <w:szCs w:val="16"/>
        <w:lang w:val="en-GB"/>
      </w:rPr>
      <w:t>SEL</w:t>
    </w:r>
    <w:r w:rsidRPr="000E3450">
      <w:rPr>
        <w:rFonts w:ascii="Arial" w:hAnsi="Arial" w:cs="Arial"/>
        <w:color w:val="231F20"/>
        <w:sz w:val="16"/>
        <w:szCs w:val="16"/>
        <w:lang w:val="en-GB"/>
      </w:rPr>
      <w:t>S</w:t>
    </w:r>
    <w:r w:rsidRPr="000E3450">
      <w:rPr>
        <w:rFonts w:ascii="Arial" w:hAnsi="Arial" w:cs="Arial"/>
        <w:color w:val="231F20"/>
        <w:spacing w:val="-13"/>
        <w:sz w:val="16"/>
        <w:szCs w:val="16"/>
        <w:lang w:val="en-GB"/>
      </w:rPr>
      <w:t xml:space="preserve"> </w:t>
    </w:r>
    <w:r w:rsidRPr="000E3450">
      <w:rPr>
        <w:rFonts w:ascii="Arial" w:hAnsi="Arial" w:cs="Arial"/>
        <w:color w:val="231F20"/>
        <w:spacing w:val="-2"/>
        <w:sz w:val="16"/>
        <w:szCs w:val="16"/>
        <w:lang w:val="en-GB"/>
      </w:rPr>
      <w:t>OFFICE</w:t>
    </w:r>
    <w:r w:rsidRPr="000E3450">
      <w:rPr>
        <w:rFonts w:ascii="Arial" w:hAnsi="Arial" w:cs="Arial"/>
        <w:color w:val="231F20"/>
        <w:spacing w:val="-2"/>
        <w:sz w:val="16"/>
        <w:szCs w:val="16"/>
        <w:lang w:val="en-GB"/>
      </w:rPr>
      <w:tab/>
    </w:r>
    <w:r w:rsidRPr="000E3450">
      <w:rPr>
        <w:rFonts w:ascii="Arial" w:hAnsi="Arial" w:cs="Arial"/>
        <w:color w:val="231F20"/>
        <w:spacing w:val="-2"/>
        <w:sz w:val="16"/>
        <w:szCs w:val="16"/>
        <w:lang w:val="en-GB"/>
      </w:rPr>
      <w:tab/>
    </w:r>
    <w:r w:rsidRPr="000E3450">
      <w:rPr>
        <w:rFonts w:ascii="Arial" w:hAnsi="Arial" w:cs="Arial"/>
        <w:color w:val="231F20"/>
        <w:spacing w:val="-2"/>
        <w:sz w:val="16"/>
        <w:szCs w:val="16"/>
        <w:lang w:val="en-GB"/>
      </w:rPr>
      <w:tab/>
      <w:t>Brussels@ebu.ch</w:t>
    </w:r>
  </w:p>
  <w:p w:rsidR="00F547E4" w:rsidRPr="00D52548" w:rsidRDefault="00F547E4" w:rsidP="00142030">
    <w:pPr>
      <w:spacing w:before="18" w:after="0" w:line="262" w:lineRule="auto"/>
      <w:ind w:right="3882"/>
      <w:rPr>
        <w:rFonts w:ascii="Arial" w:hAnsi="Arial" w:cs="Arial"/>
        <w:sz w:val="16"/>
        <w:szCs w:val="16"/>
        <w:lang w:val="fr-CH"/>
      </w:rPr>
    </w:pPr>
    <w:r w:rsidRPr="00D52548">
      <w:rPr>
        <w:rFonts w:ascii="Arial" w:hAnsi="Arial" w:cs="Arial"/>
        <w:color w:val="231F20"/>
        <w:spacing w:val="-2"/>
        <w:sz w:val="16"/>
        <w:szCs w:val="16"/>
        <w:lang w:val="fr-CH"/>
      </w:rPr>
      <w:t>5</w:t>
    </w:r>
    <w:r w:rsidRPr="00D52548">
      <w:rPr>
        <w:rFonts w:ascii="Arial" w:hAnsi="Arial" w:cs="Arial"/>
        <w:color w:val="231F20"/>
        <w:sz w:val="16"/>
        <w:szCs w:val="16"/>
        <w:lang w:val="fr-CH"/>
      </w:rPr>
      <w:t>6</w:t>
    </w:r>
    <w:r w:rsidRPr="00D52548">
      <w:rPr>
        <w:rFonts w:ascii="Arial" w:hAnsi="Arial" w:cs="Arial"/>
        <w:color w:val="231F20"/>
        <w:spacing w:val="-13"/>
        <w:sz w:val="16"/>
        <w:szCs w:val="16"/>
        <w:lang w:val="fr-CH"/>
      </w:rPr>
      <w:t xml:space="preserve"> </w:t>
    </w:r>
    <w:r w:rsidRPr="00D52548">
      <w:rPr>
        <w:rFonts w:ascii="Arial" w:hAnsi="Arial" w:cs="Arial"/>
        <w:color w:val="231F20"/>
        <w:spacing w:val="-12"/>
        <w:sz w:val="16"/>
        <w:szCs w:val="16"/>
        <w:lang w:val="fr-CH"/>
      </w:rPr>
      <w:t>A</w:t>
    </w:r>
    <w:r w:rsidRPr="00D52548">
      <w:rPr>
        <w:rFonts w:ascii="Arial" w:hAnsi="Arial" w:cs="Arial"/>
        <w:color w:val="231F20"/>
        <w:spacing w:val="-6"/>
        <w:sz w:val="16"/>
        <w:szCs w:val="16"/>
        <w:lang w:val="fr-CH"/>
      </w:rPr>
      <w:t>v</w:t>
    </w:r>
    <w:r w:rsidRPr="00D52548">
      <w:rPr>
        <w:rFonts w:ascii="Arial" w:hAnsi="Arial" w:cs="Arial"/>
        <w:color w:val="231F20"/>
        <w:spacing w:val="-2"/>
        <w:sz w:val="16"/>
        <w:szCs w:val="16"/>
        <w:lang w:val="fr-CH"/>
      </w:rPr>
      <w:t>enu</w:t>
    </w:r>
    <w:r w:rsidRPr="00D52548">
      <w:rPr>
        <w:rFonts w:ascii="Arial" w:hAnsi="Arial" w:cs="Arial"/>
        <w:color w:val="231F20"/>
        <w:sz w:val="16"/>
        <w:szCs w:val="16"/>
        <w:lang w:val="fr-CH"/>
      </w:rPr>
      <w:t>e</w:t>
    </w:r>
    <w:r w:rsidRPr="00D52548">
      <w:rPr>
        <w:rFonts w:ascii="Arial" w:hAnsi="Arial" w:cs="Arial"/>
        <w:color w:val="231F20"/>
        <w:spacing w:val="-13"/>
        <w:sz w:val="16"/>
        <w:szCs w:val="16"/>
        <w:lang w:val="fr-CH"/>
      </w:rPr>
      <w:t xml:space="preserve"> </w:t>
    </w:r>
    <w:r w:rsidRPr="00D52548">
      <w:rPr>
        <w:rFonts w:ascii="Arial" w:hAnsi="Arial" w:cs="Arial"/>
        <w:color w:val="231F20"/>
        <w:spacing w:val="-2"/>
        <w:sz w:val="16"/>
        <w:szCs w:val="16"/>
        <w:lang w:val="fr-CH"/>
      </w:rPr>
      <w:t>de</w:t>
    </w:r>
    <w:r w:rsidRPr="00D52548">
      <w:rPr>
        <w:rFonts w:ascii="Arial" w:hAnsi="Arial" w:cs="Arial"/>
        <w:color w:val="231F20"/>
        <w:sz w:val="16"/>
        <w:szCs w:val="16"/>
        <w:lang w:val="fr-CH"/>
      </w:rPr>
      <w:t>s</w:t>
    </w:r>
    <w:r w:rsidRPr="00D52548">
      <w:rPr>
        <w:rFonts w:ascii="Arial" w:hAnsi="Arial" w:cs="Arial"/>
        <w:color w:val="231F20"/>
        <w:spacing w:val="-13"/>
        <w:sz w:val="16"/>
        <w:szCs w:val="16"/>
        <w:lang w:val="fr-CH"/>
      </w:rPr>
      <w:t xml:space="preserve"> </w:t>
    </w:r>
    <w:r w:rsidRPr="00D52548">
      <w:rPr>
        <w:rFonts w:ascii="Arial" w:hAnsi="Arial" w:cs="Arial"/>
        <w:color w:val="231F20"/>
        <w:spacing w:val="-2"/>
        <w:sz w:val="16"/>
        <w:szCs w:val="16"/>
        <w:lang w:val="fr-CH"/>
      </w:rPr>
      <w:t>Arts</w:t>
    </w:r>
    <w:r w:rsidRPr="00D52548">
      <w:rPr>
        <w:rFonts w:ascii="Arial" w:hAnsi="Arial" w:cs="Arial"/>
        <w:color w:val="231F20"/>
        <w:spacing w:val="-2"/>
        <w:sz w:val="16"/>
        <w:szCs w:val="16"/>
        <w:lang w:val="fr-CH"/>
      </w:rPr>
      <w:tab/>
    </w:r>
    <w:r w:rsidRPr="00D52548">
      <w:rPr>
        <w:rFonts w:ascii="Arial" w:hAnsi="Arial" w:cs="Arial"/>
        <w:color w:val="231F20"/>
        <w:spacing w:val="-2"/>
        <w:sz w:val="16"/>
        <w:szCs w:val="16"/>
        <w:lang w:val="fr-CH"/>
      </w:rPr>
      <w:tab/>
    </w:r>
    <w:r w:rsidRPr="00D52548">
      <w:rPr>
        <w:rFonts w:ascii="Arial" w:hAnsi="Arial" w:cs="Arial"/>
        <w:color w:val="231F20"/>
        <w:spacing w:val="-2"/>
        <w:sz w:val="16"/>
        <w:szCs w:val="16"/>
        <w:lang w:val="fr-CH"/>
      </w:rPr>
      <w:tab/>
    </w:r>
    <w:r>
      <w:rPr>
        <w:rFonts w:ascii="Arial" w:hAnsi="Arial" w:cs="Arial"/>
        <w:color w:val="231F20"/>
        <w:spacing w:val="-2"/>
        <w:sz w:val="16"/>
        <w:szCs w:val="16"/>
        <w:lang w:val="fr-CH"/>
      </w:rPr>
      <w:tab/>
    </w:r>
    <w:hyperlink r:id="rId1">
      <w:r w:rsidRPr="00D52548">
        <w:rPr>
          <w:rFonts w:ascii="Arial" w:hAnsi="Arial" w:cs="Arial"/>
          <w:color w:val="231F20"/>
          <w:spacing w:val="-2"/>
          <w:sz w:val="16"/>
          <w:szCs w:val="16"/>
          <w:lang w:val="fr-CH"/>
        </w:rPr>
        <w:t xml:space="preserve"> </w:t>
      </w:r>
    </w:hyperlink>
    <w:hyperlink r:id="rId2">
      <w:r w:rsidRPr="00D52548">
        <w:rPr>
          <w:rFonts w:ascii="Arial" w:hAnsi="Arial" w:cs="Arial"/>
          <w:color w:val="231F20"/>
          <w:spacing w:val="-3"/>
          <w:sz w:val="16"/>
          <w:szCs w:val="16"/>
          <w:lang w:val="fr-CH"/>
        </w:rPr>
        <w:t>ww</w:t>
      </w:r>
      <w:r w:rsidRPr="00D52548">
        <w:rPr>
          <w:rFonts w:ascii="Arial" w:hAnsi="Arial" w:cs="Arial"/>
          <w:color w:val="231F20"/>
          <w:spacing w:val="-13"/>
          <w:sz w:val="16"/>
          <w:szCs w:val="16"/>
          <w:lang w:val="fr-CH"/>
        </w:rPr>
        <w:t>w</w:t>
      </w:r>
      <w:r w:rsidRPr="00D52548">
        <w:rPr>
          <w:rFonts w:ascii="Arial" w:hAnsi="Arial" w:cs="Arial"/>
          <w:color w:val="231F20"/>
          <w:spacing w:val="-5"/>
          <w:sz w:val="16"/>
          <w:szCs w:val="16"/>
          <w:lang w:val="fr-CH"/>
        </w:rPr>
        <w:t>.</w:t>
      </w:r>
      <w:r w:rsidRPr="00D52548">
        <w:rPr>
          <w:rFonts w:ascii="Arial" w:hAnsi="Arial" w:cs="Arial"/>
          <w:color w:val="231F20"/>
          <w:spacing w:val="-2"/>
          <w:sz w:val="16"/>
          <w:szCs w:val="16"/>
          <w:lang w:val="fr-CH"/>
        </w:rPr>
        <w:t>ebu</w:t>
      </w:r>
      <w:r w:rsidRPr="00D52548">
        <w:rPr>
          <w:rFonts w:ascii="Arial" w:hAnsi="Arial" w:cs="Arial"/>
          <w:color w:val="231F20"/>
          <w:spacing w:val="-5"/>
          <w:sz w:val="16"/>
          <w:szCs w:val="16"/>
          <w:lang w:val="fr-CH"/>
        </w:rPr>
        <w:t>.</w:t>
      </w:r>
      <w:r w:rsidRPr="00D52548">
        <w:rPr>
          <w:rFonts w:ascii="Arial" w:hAnsi="Arial" w:cs="Arial"/>
          <w:color w:val="231F20"/>
          <w:spacing w:val="-2"/>
          <w:sz w:val="16"/>
          <w:szCs w:val="16"/>
          <w:lang w:val="fr-CH"/>
        </w:rPr>
        <w:t>ch</w:t>
      </w:r>
    </w:hyperlink>
  </w:p>
  <w:p w:rsidR="00F547E4" w:rsidRPr="00D52548" w:rsidRDefault="00925585" w:rsidP="00142030">
    <w:pPr>
      <w:spacing w:after="0"/>
      <w:ind w:right="-20"/>
      <w:rPr>
        <w:rFonts w:ascii="Arial" w:hAnsi="Arial" w:cs="Arial"/>
        <w:sz w:val="16"/>
        <w:szCs w:val="16"/>
      </w:rPr>
    </w:pPr>
    <w:r>
      <w:rPr>
        <w:noProof/>
      </w:rPr>
      <mc:AlternateContent>
        <mc:Choice Requires="wps">
          <w:drawing>
            <wp:anchor distT="0" distB="0" distL="114300" distR="114300" simplePos="0" relativeHeight="251656704" behindDoc="1" locked="0" layoutInCell="1" allowOverlap="1">
              <wp:simplePos x="0" y="0"/>
              <wp:positionH relativeFrom="page">
                <wp:posOffset>5946140</wp:posOffset>
              </wp:positionH>
              <wp:positionV relativeFrom="page">
                <wp:posOffset>10331450</wp:posOffset>
              </wp:positionV>
              <wp:extent cx="722630" cy="114300"/>
              <wp:effectExtent l="0" t="0" r="127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47E4" w:rsidRPr="00D52548" w:rsidRDefault="00F547E4" w:rsidP="00142030">
                          <w:pPr>
                            <w:spacing w:after="0" w:line="168" w:lineRule="exact"/>
                            <w:ind w:left="20" w:right="-41"/>
                            <w:rPr>
                              <w:rFonts w:ascii="Arial" w:hAnsi="Arial" w:cs="Arial"/>
                              <w:sz w:val="14"/>
                              <w:szCs w:val="14"/>
                            </w:rPr>
                          </w:pPr>
                          <w:r>
                            <w:rPr>
                              <w:rFonts w:ascii="Arial" w:hAnsi="Arial" w:cs="Arial"/>
                              <w:color w:val="231F20"/>
                              <w:spacing w:val="-1"/>
                              <w:sz w:val="14"/>
                              <w:szCs w:val="14"/>
                            </w:rPr>
                            <w:t>July 2015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8.2pt;margin-top:813.5pt;width:56.9pt;height: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" filled="f" stroked="f">
              <v:textbox inset="0,0,0,0">
                <w:txbxContent>
                  <w:p w:rsidR="00F547E4" w:rsidRPr="00D52548" w:rsidRDefault="00F547E4" w:rsidP="00142030">
                    <w:pPr>
                      <w:spacing w:after="0" w:line="168" w:lineRule="exact"/>
                      <w:ind w:left="20" w:right="-41"/>
                      <w:rPr>
                        <w:rFonts w:ascii="Arial" w:hAnsi="Arial" w:cs="Arial"/>
                        <w:sz w:val="14"/>
                        <w:szCs w:val="14"/>
                      </w:rPr>
                    </w:pPr>
                    <w:r>
                      <w:rPr>
                        <w:rFonts w:ascii="Arial" w:hAnsi="Arial" w:cs="Arial"/>
                        <w:color w:val="231F20"/>
                        <w:spacing w:val="-1"/>
                        <w:sz w:val="14"/>
                        <w:szCs w:val="14"/>
                      </w:rPr>
                      <w:t>July 2015</w:t>
                    </w:r>
                  </w:p>
                </w:txbxContent>
              </v:textbox>
              <w10:wrap anchorx="page" anchory="page"/>
            </v:shape>
          </w:pict>
        </mc:Fallback>
      </mc:AlternateContent>
    </w:r>
    <w:r w:rsidR="00F547E4" w:rsidRPr="00D52548">
      <w:rPr>
        <w:rFonts w:ascii="Arial" w:hAnsi="Arial" w:cs="Arial"/>
        <w:color w:val="231F20"/>
        <w:spacing w:val="-2"/>
        <w:sz w:val="16"/>
        <w:szCs w:val="16"/>
      </w:rPr>
      <w:t>100</w:t>
    </w:r>
    <w:r w:rsidR="00F547E4" w:rsidRPr="00D52548">
      <w:rPr>
        <w:rFonts w:ascii="Arial" w:hAnsi="Arial" w:cs="Arial"/>
        <w:color w:val="231F20"/>
        <w:sz w:val="16"/>
        <w:szCs w:val="16"/>
      </w:rPr>
      <w:t>0</w:t>
    </w:r>
    <w:r w:rsidR="00F547E4" w:rsidRPr="00D52548">
      <w:rPr>
        <w:rFonts w:ascii="Arial" w:hAnsi="Arial" w:cs="Arial"/>
        <w:color w:val="231F20"/>
        <w:spacing w:val="-13"/>
        <w:sz w:val="16"/>
        <w:szCs w:val="16"/>
      </w:rPr>
      <w:t xml:space="preserve"> </w:t>
    </w:r>
    <w:smartTag w:uri="urn:schemas-microsoft-com:office:smarttags" w:element="City">
      <w:smartTag w:uri="urn:schemas-microsoft-com:office:smarttags" w:element="place">
        <w:r w:rsidR="00F547E4" w:rsidRPr="00D52548">
          <w:rPr>
            <w:rFonts w:ascii="Arial" w:hAnsi="Arial" w:cs="Arial"/>
            <w:color w:val="231F20"/>
            <w:spacing w:val="-2"/>
            <w:sz w:val="16"/>
            <w:szCs w:val="16"/>
          </w:rPr>
          <w:t>Bru</w:t>
        </w:r>
        <w:r w:rsidR="00F547E4" w:rsidRPr="00D52548">
          <w:rPr>
            <w:rFonts w:ascii="Arial" w:hAnsi="Arial" w:cs="Arial"/>
            <w:color w:val="231F20"/>
            <w:spacing w:val="-3"/>
            <w:sz w:val="16"/>
            <w:szCs w:val="16"/>
          </w:rPr>
          <w:t>s</w:t>
        </w:r>
        <w:r w:rsidR="00F547E4" w:rsidRPr="00D52548">
          <w:rPr>
            <w:rFonts w:ascii="Arial" w:hAnsi="Arial" w:cs="Arial"/>
            <w:color w:val="231F20"/>
            <w:spacing w:val="-2"/>
            <w:sz w:val="16"/>
            <w:szCs w:val="16"/>
          </w:rPr>
          <w:t>sels</w:t>
        </w:r>
      </w:smartTag>
    </w:smartTag>
    <w:r w:rsidR="00F547E4" w:rsidRPr="00D52548">
      <w:rPr>
        <w:rFonts w:ascii="Arial" w:hAnsi="Arial" w:cs="Arial"/>
        <w:color w:val="231F20"/>
        <w:spacing w:val="-2"/>
        <w:sz w:val="16"/>
        <w:szCs w:val="16"/>
      </w:rPr>
      <w:tab/>
    </w:r>
    <w:r w:rsidR="00F547E4" w:rsidRPr="00D52548">
      <w:rPr>
        <w:rFonts w:ascii="Arial" w:hAnsi="Arial" w:cs="Arial"/>
        <w:color w:val="231F20"/>
        <w:spacing w:val="-2"/>
        <w:sz w:val="16"/>
        <w:szCs w:val="16"/>
      </w:rPr>
      <w:tab/>
    </w:r>
    <w:r w:rsidR="00F547E4" w:rsidRPr="00D52548">
      <w:rPr>
        <w:rFonts w:ascii="Arial" w:hAnsi="Arial" w:cs="Arial"/>
        <w:color w:val="231F20"/>
        <w:spacing w:val="-2"/>
        <w:sz w:val="16"/>
        <w:szCs w:val="16"/>
      </w:rPr>
      <w:tab/>
    </w:r>
    <w:r w:rsidR="00F547E4" w:rsidRPr="00D52548">
      <w:rPr>
        <w:rFonts w:ascii="Arial" w:hAnsi="Arial" w:cs="Arial"/>
        <w:color w:val="231F20"/>
        <w:spacing w:val="-2"/>
        <w:sz w:val="16"/>
        <w:szCs w:val="16"/>
      </w:rPr>
      <w:tab/>
      <w:t>@</w:t>
    </w:r>
    <w:proofErr w:type="spellStart"/>
    <w:r w:rsidR="00F547E4" w:rsidRPr="00D52548">
      <w:rPr>
        <w:rFonts w:ascii="Arial" w:hAnsi="Arial" w:cs="Arial"/>
        <w:color w:val="231F20"/>
        <w:spacing w:val="-2"/>
        <w:sz w:val="16"/>
        <w:szCs w:val="16"/>
      </w:rPr>
      <w:t>EBU_Eu</w:t>
    </w:r>
    <w:r w:rsidR="00F547E4" w:rsidRPr="00D52548">
      <w:rPr>
        <w:rFonts w:ascii="Arial" w:hAnsi="Arial" w:cs="Arial"/>
        <w:color w:val="231F20"/>
        <w:spacing w:val="-5"/>
        <w:sz w:val="16"/>
        <w:szCs w:val="16"/>
      </w:rPr>
      <w:t>r</w:t>
    </w:r>
    <w:r w:rsidR="00F547E4" w:rsidRPr="00D52548">
      <w:rPr>
        <w:rFonts w:ascii="Arial" w:hAnsi="Arial" w:cs="Arial"/>
        <w:color w:val="231F20"/>
        <w:spacing w:val="-6"/>
        <w:sz w:val="16"/>
        <w:szCs w:val="16"/>
      </w:rPr>
      <w:t>o</w:t>
    </w:r>
    <w:r w:rsidR="00F547E4" w:rsidRPr="00D52548">
      <w:rPr>
        <w:rFonts w:ascii="Arial" w:hAnsi="Arial" w:cs="Arial"/>
        <w:color w:val="231F20"/>
        <w:spacing w:val="-2"/>
        <w:sz w:val="16"/>
        <w:szCs w:val="16"/>
      </w:rPr>
      <w:t>vision</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7E4" w:rsidRDefault="00925585">
    <w:pPr>
      <w:pStyle w:val="Footer"/>
    </w:pPr>
    <w:r>
      <w:rPr>
        <w:noProof/>
      </w:rPr>
      <mc:AlternateContent>
        <mc:Choice Requires="wps">
          <w:drawing>
            <wp:anchor distT="0" distB="0" distL="114300" distR="114300" simplePos="0" relativeHeight="251657728" behindDoc="1" locked="0" layoutInCell="1" allowOverlap="1">
              <wp:simplePos x="0" y="0"/>
              <wp:positionH relativeFrom="page">
                <wp:posOffset>6098540</wp:posOffset>
              </wp:positionH>
              <wp:positionV relativeFrom="page">
                <wp:posOffset>10331450</wp:posOffset>
              </wp:positionV>
              <wp:extent cx="722630" cy="114300"/>
              <wp:effectExtent l="0" t="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47E4" w:rsidRDefault="00F547E4" w:rsidP="00E45B5D">
                          <w:pPr>
                            <w:spacing w:after="0" w:line="168" w:lineRule="exact"/>
                            <w:ind w:left="20" w:right="-41"/>
                            <w:rPr>
                              <w:rFonts w:ascii="Gotham Light" w:hAnsi="Gotham Light" w:cs="Gotham Light"/>
                              <w:sz w:val="14"/>
                              <w:szCs w:val="14"/>
                            </w:rPr>
                          </w:pPr>
                          <w:r>
                            <w:rPr>
                              <w:rFonts w:ascii="Gotham Light" w:hAnsi="Gotham Light" w:cs="Gotham Light"/>
                              <w:color w:val="231F20"/>
                              <w:spacing w:val="-1"/>
                              <w:sz w:val="14"/>
                              <w:szCs w:val="14"/>
                            </w:rPr>
                            <w:t>July 2</w:t>
                          </w:r>
                          <w:r>
                            <w:rPr>
                              <w:rFonts w:ascii="Gotham Light" w:hAnsi="Gotham Light" w:cs="Gotham Light"/>
                              <w:color w:val="231F20"/>
                              <w:spacing w:val="-2"/>
                              <w:sz w:val="14"/>
                              <w:szCs w:val="14"/>
                            </w:rPr>
                            <w:t>0</w:t>
                          </w:r>
                          <w:r>
                            <w:rPr>
                              <w:rFonts w:ascii="Gotham Light" w:hAnsi="Gotham Light" w:cs="Gotham Light"/>
                              <w:color w:val="231F20"/>
                              <w:spacing w:val="-1"/>
                              <w:sz w:val="14"/>
                              <w:szCs w:val="14"/>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480.2pt;margin-top:813.5pt;width:56.9pt;height: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icargIAAK8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" filled="f" stroked="f">
              <v:textbox inset="0,0,0,0">
                <w:txbxContent>
                  <w:p w:rsidR="00F547E4" w:rsidRDefault="00F547E4" w:rsidP="00E45B5D">
                    <w:pPr>
                      <w:spacing w:after="0" w:line="168" w:lineRule="exact"/>
                      <w:ind w:left="20" w:right="-41"/>
                      <w:rPr>
                        <w:rFonts w:ascii="Gotham Light" w:hAnsi="Gotham Light" w:cs="Gotham Light"/>
                        <w:sz w:val="14"/>
                        <w:szCs w:val="14"/>
                      </w:rPr>
                    </w:pPr>
                    <w:r>
                      <w:rPr>
                        <w:rFonts w:ascii="Gotham Light" w:hAnsi="Gotham Light" w:cs="Gotham Light"/>
                        <w:color w:val="231F20"/>
                        <w:spacing w:val="-1"/>
                        <w:sz w:val="14"/>
                        <w:szCs w:val="14"/>
                      </w:rPr>
                      <w:t>July 2</w:t>
                    </w:r>
                    <w:r>
                      <w:rPr>
                        <w:rFonts w:ascii="Gotham Light" w:hAnsi="Gotham Light" w:cs="Gotham Light"/>
                        <w:color w:val="231F20"/>
                        <w:spacing w:val="-2"/>
                        <w:sz w:val="14"/>
                        <w:szCs w:val="14"/>
                      </w:rPr>
                      <w:t>0</w:t>
                    </w:r>
                    <w:r>
                      <w:rPr>
                        <w:rFonts w:ascii="Gotham Light" w:hAnsi="Gotham Light" w:cs="Gotham Light"/>
                        <w:color w:val="231F20"/>
                        <w:spacing w:val="-1"/>
                        <w:sz w:val="14"/>
                        <w:szCs w:val="14"/>
                      </w:rPr>
                      <w:t>15</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4C7" w:rsidRPr="00142030" w:rsidRDefault="004F04C7" w:rsidP="00142030">
      <w:pPr>
        <w:spacing w:after="0"/>
      </w:pPr>
      <w:r>
        <w:separator/>
      </w:r>
    </w:p>
  </w:footnote>
  <w:footnote w:type="continuationSeparator" w:id="0">
    <w:p w:rsidR="004F04C7" w:rsidRPr="00142030" w:rsidRDefault="004F04C7" w:rsidP="0014203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7E4" w:rsidRDefault="00925585" w:rsidP="00CC47E2">
    <w:pPr>
      <w:pStyle w:val="Header"/>
      <w:tabs>
        <w:tab w:val="clear" w:pos="4536"/>
        <w:tab w:val="clear" w:pos="9072"/>
        <w:tab w:val="left" w:pos="780"/>
      </w:tabs>
    </w:pPr>
    <w:r>
      <w:rPr>
        <w:noProof/>
      </w:rPr>
      <w:drawing>
        <wp:anchor distT="0" distB="0" distL="114300" distR="114300" simplePos="0" relativeHeight="251658752" behindDoc="1" locked="0" layoutInCell="1" allowOverlap="1">
          <wp:simplePos x="0" y="0"/>
          <wp:positionH relativeFrom="column">
            <wp:posOffset>-109855</wp:posOffset>
          </wp:positionH>
          <wp:positionV relativeFrom="paragraph">
            <wp:posOffset>-183515</wp:posOffset>
          </wp:positionV>
          <wp:extent cx="2590800" cy="762000"/>
          <wp:effectExtent l="0" t="0" r="0" b="0"/>
          <wp:wrapNone/>
          <wp:docPr id="2" name="Image 0" descr="EBU_Tagline_and-radio_logo_EBU_CMYK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EBU_Tagline_and-radio_logo_EBU_CMYK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0800" cy="762000"/>
                  </a:xfrm>
                  <a:prstGeom prst="rect">
                    <a:avLst/>
                  </a:prstGeom>
                  <a:noFill/>
                </pic:spPr>
              </pic:pic>
            </a:graphicData>
          </a:graphic>
          <wp14:sizeRelH relativeFrom="page">
            <wp14:pctWidth>0</wp14:pctWidth>
          </wp14:sizeRelH>
          <wp14:sizeRelV relativeFrom="page">
            <wp14:pctHeight>0</wp14:pctHeight>
          </wp14:sizeRelV>
        </wp:anchor>
      </w:drawing>
    </w:r>
    <w:r w:rsidR="00F547E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B3A2F"/>
    <w:multiLevelType w:val="hybridMultilevel"/>
    <w:tmpl w:val="FB6035EC"/>
    <w:lvl w:ilvl="0" w:tplc="164CC576">
      <w:numFmt w:val="bullet"/>
      <w:lvlText w:val="-"/>
      <w:lvlJc w:val="left"/>
      <w:pPr>
        <w:ind w:left="1069" w:hanging="360"/>
      </w:pPr>
      <w:rPr>
        <w:rFonts w:ascii="Arial" w:eastAsia="Times New Roman" w:hAnsi="Arial" w:hint="default"/>
      </w:rPr>
    </w:lvl>
    <w:lvl w:ilvl="1" w:tplc="100C0003" w:tentative="1">
      <w:start w:val="1"/>
      <w:numFmt w:val="bullet"/>
      <w:lvlText w:val="o"/>
      <w:lvlJc w:val="left"/>
      <w:pPr>
        <w:ind w:left="1789" w:hanging="360"/>
      </w:pPr>
      <w:rPr>
        <w:rFonts w:ascii="Courier New" w:hAnsi="Courier New" w:hint="default"/>
      </w:rPr>
    </w:lvl>
    <w:lvl w:ilvl="2" w:tplc="100C0005" w:tentative="1">
      <w:start w:val="1"/>
      <w:numFmt w:val="bullet"/>
      <w:lvlText w:val=""/>
      <w:lvlJc w:val="left"/>
      <w:pPr>
        <w:ind w:left="2509" w:hanging="360"/>
      </w:pPr>
      <w:rPr>
        <w:rFonts w:ascii="Wingdings" w:hAnsi="Wingdings" w:hint="default"/>
      </w:rPr>
    </w:lvl>
    <w:lvl w:ilvl="3" w:tplc="100C0001" w:tentative="1">
      <w:start w:val="1"/>
      <w:numFmt w:val="bullet"/>
      <w:lvlText w:val=""/>
      <w:lvlJc w:val="left"/>
      <w:pPr>
        <w:ind w:left="3229" w:hanging="360"/>
      </w:pPr>
      <w:rPr>
        <w:rFonts w:ascii="Symbol" w:hAnsi="Symbol" w:hint="default"/>
      </w:rPr>
    </w:lvl>
    <w:lvl w:ilvl="4" w:tplc="100C0003" w:tentative="1">
      <w:start w:val="1"/>
      <w:numFmt w:val="bullet"/>
      <w:lvlText w:val="o"/>
      <w:lvlJc w:val="left"/>
      <w:pPr>
        <w:ind w:left="3949" w:hanging="360"/>
      </w:pPr>
      <w:rPr>
        <w:rFonts w:ascii="Courier New" w:hAnsi="Courier New" w:hint="default"/>
      </w:rPr>
    </w:lvl>
    <w:lvl w:ilvl="5" w:tplc="100C0005" w:tentative="1">
      <w:start w:val="1"/>
      <w:numFmt w:val="bullet"/>
      <w:lvlText w:val=""/>
      <w:lvlJc w:val="left"/>
      <w:pPr>
        <w:ind w:left="4669" w:hanging="360"/>
      </w:pPr>
      <w:rPr>
        <w:rFonts w:ascii="Wingdings" w:hAnsi="Wingdings" w:hint="default"/>
      </w:rPr>
    </w:lvl>
    <w:lvl w:ilvl="6" w:tplc="100C0001" w:tentative="1">
      <w:start w:val="1"/>
      <w:numFmt w:val="bullet"/>
      <w:lvlText w:val=""/>
      <w:lvlJc w:val="left"/>
      <w:pPr>
        <w:ind w:left="5389" w:hanging="360"/>
      </w:pPr>
      <w:rPr>
        <w:rFonts w:ascii="Symbol" w:hAnsi="Symbol" w:hint="default"/>
      </w:rPr>
    </w:lvl>
    <w:lvl w:ilvl="7" w:tplc="100C0003" w:tentative="1">
      <w:start w:val="1"/>
      <w:numFmt w:val="bullet"/>
      <w:lvlText w:val="o"/>
      <w:lvlJc w:val="left"/>
      <w:pPr>
        <w:ind w:left="6109" w:hanging="360"/>
      </w:pPr>
      <w:rPr>
        <w:rFonts w:ascii="Courier New" w:hAnsi="Courier New" w:hint="default"/>
      </w:rPr>
    </w:lvl>
    <w:lvl w:ilvl="8" w:tplc="100C0005" w:tentative="1">
      <w:start w:val="1"/>
      <w:numFmt w:val="bullet"/>
      <w:lvlText w:val=""/>
      <w:lvlJc w:val="left"/>
      <w:pPr>
        <w:ind w:left="6829" w:hanging="360"/>
      </w:pPr>
      <w:rPr>
        <w:rFonts w:ascii="Wingdings" w:hAnsi="Wingdings" w:hint="default"/>
      </w:rPr>
    </w:lvl>
  </w:abstractNum>
  <w:abstractNum w:abstractNumId="1">
    <w:nsid w:val="25A44CAF"/>
    <w:multiLevelType w:val="hybridMultilevel"/>
    <w:tmpl w:val="4384AFB0"/>
    <w:lvl w:ilvl="0" w:tplc="1AEEA076">
      <w:numFmt w:val="bullet"/>
      <w:lvlText w:val="-"/>
      <w:lvlJc w:val="left"/>
      <w:pPr>
        <w:ind w:left="1069" w:hanging="360"/>
      </w:pPr>
      <w:rPr>
        <w:rFonts w:ascii="Arial" w:eastAsia="Times New Roman" w:hAnsi="Arial" w:hint="default"/>
      </w:rPr>
    </w:lvl>
    <w:lvl w:ilvl="1" w:tplc="100C0003" w:tentative="1">
      <w:start w:val="1"/>
      <w:numFmt w:val="bullet"/>
      <w:lvlText w:val="o"/>
      <w:lvlJc w:val="left"/>
      <w:pPr>
        <w:ind w:left="1789" w:hanging="360"/>
      </w:pPr>
      <w:rPr>
        <w:rFonts w:ascii="Courier New" w:hAnsi="Courier New" w:hint="default"/>
      </w:rPr>
    </w:lvl>
    <w:lvl w:ilvl="2" w:tplc="100C0005" w:tentative="1">
      <w:start w:val="1"/>
      <w:numFmt w:val="bullet"/>
      <w:lvlText w:val=""/>
      <w:lvlJc w:val="left"/>
      <w:pPr>
        <w:ind w:left="2509" w:hanging="360"/>
      </w:pPr>
      <w:rPr>
        <w:rFonts w:ascii="Wingdings" w:hAnsi="Wingdings" w:hint="default"/>
      </w:rPr>
    </w:lvl>
    <w:lvl w:ilvl="3" w:tplc="100C0001" w:tentative="1">
      <w:start w:val="1"/>
      <w:numFmt w:val="bullet"/>
      <w:lvlText w:val=""/>
      <w:lvlJc w:val="left"/>
      <w:pPr>
        <w:ind w:left="3229" w:hanging="360"/>
      </w:pPr>
      <w:rPr>
        <w:rFonts w:ascii="Symbol" w:hAnsi="Symbol" w:hint="default"/>
      </w:rPr>
    </w:lvl>
    <w:lvl w:ilvl="4" w:tplc="100C0003" w:tentative="1">
      <w:start w:val="1"/>
      <w:numFmt w:val="bullet"/>
      <w:lvlText w:val="o"/>
      <w:lvlJc w:val="left"/>
      <w:pPr>
        <w:ind w:left="3949" w:hanging="360"/>
      </w:pPr>
      <w:rPr>
        <w:rFonts w:ascii="Courier New" w:hAnsi="Courier New" w:hint="default"/>
      </w:rPr>
    </w:lvl>
    <w:lvl w:ilvl="5" w:tplc="100C0005" w:tentative="1">
      <w:start w:val="1"/>
      <w:numFmt w:val="bullet"/>
      <w:lvlText w:val=""/>
      <w:lvlJc w:val="left"/>
      <w:pPr>
        <w:ind w:left="4669" w:hanging="360"/>
      </w:pPr>
      <w:rPr>
        <w:rFonts w:ascii="Wingdings" w:hAnsi="Wingdings" w:hint="default"/>
      </w:rPr>
    </w:lvl>
    <w:lvl w:ilvl="6" w:tplc="100C0001" w:tentative="1">
      <w:start w:val="1"/>
      <w:numFmt w:val="bullet"/>
      <w:lvlText w:val=""/>
      <w:lvlJc w:val="left"/>
      <w:pPr>
        <w:ind w:left="5389" w:hanging="360"/>
      </w:pPr>
      <w:rPr>
        <w:rFonts w:ascii="Symbol" w:hAnsi="Symbol" w:hint="default"/>
      </w:rPr>
    </w:lvl>
    <w:lvl w:ilvl="7" w:tplc="100C0003" w:tentative="1">
      <w:start w:val="1"/>
      <w:numFmt w:val="bullet"/>
      <w:lvlText w:val="o"/>
      <w:lvlJc w:val="left"/>
      <w:pPr>
        <w:ind w:left="6109" w:hanging="360"/>
      </w:pPr>
      <w:rPr>
        <w:rFonts w:ascii="Courier New" w:hAnsi="Courier New" w:hint="default"/>
      </w:rPr>
    </w:lvl>
    <w:lvl w:ilvl="8" w:tplc="100C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030"/>
    <w:rsid w:val="00033A57"/>
    <w:rsid w:val="00037718"/>
    <w:rsid w:val="0005416A"/>
    <w:rsid w:val="00056BE8"/>
    <w:rsid w:val="00060F16"/>
    <w:rsid w:val="0006615C"/>
    <w:rsid w:val="0008131F"/>
    <w:rsid w:val="00090BD7"/>
    <w:rsid w:val="00091BBF"/>
    <w:rsid w:val="000E2F7E"/>
    <w:rsid w:val="000E3450"/>
    <w:rsid w:val="000E7688"/>
    <w:rsid w:val="0014178F"/>
    <w:rsid w:val="00142030"/>
    <w:rsid w:val="00142FE5"/>
    <w:rsid w:val="00151F68"/>
    <w:rsid w:val="00164C00"/>
    <w:rsid w:val="00165016"/>
    <w:rsid w:val="00171AAA"/>
    <w:rsid w:val="0017265C"/>
    <w:rsid w:val="001944D9"/>
    <w:rsid w:val="0019678E"/>
    <w:rsid w:val="001B0B81"/>
    <w:rsid w:val="001C439C"/>
    <w:rsid w:val="0021574B"/>
    <w:rsid w:val="0024545C"/>
    <w:rsid w:val="00245561"/>
    <w:rsid w:val="002804E7"/>
    <w:rsid w:val="002A1DAD"/>
    <w:rsid w:val="002C2BE3"/>
    <w:rsid w:val="002C3CB3"/>
    <w:rsid w:val="002C753A"/>
    <w:rsid w:val="002E0DF3"/>
    <w:rsid w:val="002E65AD"/>
    <w:rsid w:val="002F286C"/>
    <w:rsid w:val="00353144"/>
    <w:rsid w:val="00372E11"/>
    <w:rsid w:val="003872CF"/>
    <w:rsid w:val="003D7038"/>
    <w:rsid w:val="003E454D"/>
    <w:rsid w:val="003F0FBA"/>
    <w:rsid w:val="00402FB8"/>
    <w:rsid w:val="00420F12"/>
    <w:rsid w:val="00431CCB"/>
    <w:rsid w:val="004341C6"/>
    <w:rsid w:val="00444234"/>
    <w:rsid w:val="00455DD4"/>
    <w:rsid w:val="004600F0"/>
    <w:rsid w:val="004632E1"/>
    <w:rsid w:val="004B5E0D"/>
    <w:rsid w:val="004C39D8"/>
    <w:rsid w:val="004D2916"/>
    <w:rsid w:val="004D74D0"/>
    <w:rsid w:val="004F04C7"/>
    <w:rsid w:val="00504531"/>
    <w:rsid w:val="00511509"/>
    <w:rsid w:val="0054098F"/>
    <w:rsid w:val="00545C52"/>
    <w:rsid w:val="005A3E16"/>
    <w:rsid w:val="005B4127"/>
    <w:rsid w:val="005C536C"/>
    <w:rsid w:val="005D67CD"/>
    <w:rsid w:val="005E0DAC"/>
    <w:rsid w:val="005E7B82"/>
    <w:rsid w:val="00600BA6"/>
    <w:rsid w:val="00633307"/>
    <w:rsid w:val="00657131"/>
    <w:rsid w:val="006808AA"/>
    <w:rsid w:val="006836C5"/>
    <w:rsid w:val="0069451B"/>
    <w:rsid w:val="006C3DD9"/>
    <w:rsid w:val="006D4DB1"/>
    <w:rsid w:val="006E404B"/>
    <w:rsid w:val="006E44F1"/>
    <w:rsid w:val="006E69A7"/>
    <w:rsid w:val="00712EDE"/>
    <w:rsid w:val="00714EB4"/>
    <w:rsid w:val="00715097"/>
    <w:rsid w:val="00722BCA"/>
    <w:rsid w:val="0072314A"/>
    <w:rsid w:val="007462C8"/>
    <w:rsid w:val="00762674"/>
    <w:rsid w:val="0077268A"/>
    <w:rsid w:val="00775991"/>
    <w:rsid w:val="00783EC1"/>
    <w:rsid w:val="007B1853"/>
    <w:rsid w:val="007B4CC1"/>
    <w:rsid w:val="00810475"/>
    <w:rsid w:val="00825B69"/>
    <w:rsid w:val="00831925"/>
    <w:rsid w:val="00834D7F"/>
    <w:rsid w:val="00835DA4"/>
    <w:rsid w:val="00836FBD"/>
    <w:rsid w:val="008510F8"/>
    <w:rsid w:val="0085178D"/>
    <w:rsid w:val="00853D45"/>
    <w:rsid w:val="008651F6"/>
    <w:rsid w:val="008C1C19"/>
    <w:rsid w:val="008C4203"/>
    <w:rsid w:val="008D15F1"/>
    <w:rsid w:val="008D4469"/>
    <w:rsid w:val="008D7777"/>
    <w:rsid w:val="008E00AE"/>
    <w:rsid w:val="008E5F8B"/>
    <w:rsid w:val="008F13E8"/>
    <w:rsid w:val="00912A0E"/>
    <w:rsid w:val="00925585"/>
    <w:rsid w:val="0096113D"/>
    <w:rsid w:val="00982EBA"/>
    <w:rsid w:val="009A6837"/>
    <w:rsid w:val="009B606F"/>
    <w:rsid w:val="009B732A"/>
    <w:rsid w:val="009E19AF"/>
    <w:rsid w:val="00A0354C"/>
    <w:rsid w:val="00A17ABF"/>
    <w:rsid w:val="00A22414"/>
    <w:rsid w:val="00A250C7"/>
    <w:rsid w:val="00A317E8"/>
    <w:rsid w:val="00A31EBA"/>
    <w:rsid w:val="00A43FA3"/>
    <w:rsid w:val="00A471E4"/>
    <w:rsid w:val="00A5302F"/>
    <w:rsid w:val="00A62DC6"/>
    <w:rsid w:val="00A70B55"/>
    <w:rsid w:val="00A86C29"/>
    <w:rsid w:val="00A907BA"/>
    <w:rsid w:val="00AA11AF"/>
    <w:rsid w:val="00AB538E"/>
    <w:rsid w:val="00AC0385"/>
    <w:rsid w:val="00AE2D16"/>
    <w:rsid w:val="00AE6D9F"/>
    <w:rsid w:val="00B0269C"/>
    <w:rsid w:val="00B0457D"/>
    <w:rsid w:val="00B50C60"/>
    <w:rsid w:val="00B6668A"/>
    <w:rsid w:val="00B75A09"/>
    <w:rsid w:val="00BC680B"/>
    <w:rsid w:val="00BD226C"/>
    <w:rsid w:val="00BF5808"/>
    <w:rsid w:val="00C110A7"/>
    <w:rsid w:val="00C233E5"/>
    <w:rsid w:val="00C27929"/>
    <w:rsid w:val="00C34420"/>
    <w:rsid w:val="00C52F26"/>
    <w:rsid w:val="00C60114"/>
    <w:rsid w:val="00C70A30"/>
    <w:rsid w:val="00C70C00"/>
    <w:rsid w:val="00C82E3D"/>
    <w:rsid w:val="00C86588"/>
    <w:rsid w:val="00C94860"/>
    <w:rsid w:val="00CC47E2"/>
    <w:rsid w:val="00CE29CA"/>
    <w:rsid w:val="00CF007E"/>
    <w:rsid w:val="00D1236B"/>
    <w:rsid w:val="00D222AA"/>
    <w:rsid w:val="00D36041"/>
    <w:rsid w:val="00D42F6B"/>
    <w:rsid w:val="00D52548"/>
    <w:rsid w:val="00D83375"/>
    <w:rsid w:val="00D85CB9"/>
    <w:rsid w:val="00D9637D"/>
    <w:rsid w:val="00DA415A"/>
    <w:rsid w:val="00DC78B4"/>
    <w:rsid w:val="00DF6FA0"/>
    <w:rsid w:val="00E110D4"/>
    <w:rsid w:val="00E127FB"/>
    <w:rsid w:val="00E20331"/>
    <w:rsid w:val="00E210F9"/>
    <w:rsid w:val="00E45B5D"/>
    <w:rsid w:val="00E46FA8"/>
    <w:rsid w:val="00E7636F"/>
    <w:rsid w:val="00E8285D"/>
    <w:rsid w:val="00E93F7F"/>
    <w:rsid w:val="00E96F33"/>
    <w:rsid w:val="00EA48E4"/>
    <w:rsid w:val="00EB0F48"/>
    <w:rsid w:val="00EF0BEB"/>
    <w:rsid w:val="00F22A09"/>
    <w:rsid w:val="00F22C49"/>
    <w:rsid w:val="00F26C91"/>
    <w:rsid w:val="00F37D67"/>
    <w:rsid w:val="00F41CF6"/>
    <w:rsid w:val="00F547E4"/>
    <w:rsid w:val="00F63F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15:docId w15:val="{76CB25B4-E04C-49A8-959D-E4FEC94E9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68A"/>
    <w:pPr>
      <w:widowControl w:val="0"/>
      <w:spacing w:after="200"/>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TRO">
    <w:name w:val="INTRO"/>
    <w:basedOn w:val="Normal"/>
    <w:uiPriority w:val="99"/>
    <w:rsid w:val="00D52548"/>
    <w:pPr>
      <w:spacing w:before="22" w:after="0" w:line="242" w:lineRule="auto"/>
      <w:ind w:right="362"/>
    </w:pPr>
    <w:rPr>
      <w:rFonts w:ascii="Arial" w:hAnsi="Arial" w:cs="Gotham Light"/>
      <w:color w:val="14489F"/>
      <w:spacing w:val="-5"/>
      <w:sz w:val="24"/>
      <w:szCs w:val="26"/>
    </w:rPr>
  </w:style>
  <w:style w:type="paragraph" w:customStyle="1" w:styleId="TITREPRINCIPAL">
    <w:name w:val="TITRE PRINCIPAL"/>
    <w:basedOn w:val="Normal"/>
    <w:uiPriority w:val="99"/>
    <w:rsid w:val="00B6668A"/>
    <w:pPr>
      <w:spacing w:after="0"/>
      <w:ind w:right="-20"/>
    </w:pPr>
    <w:rPr>
      <w:rFonts w:ascii="Arial Black" w:hAnsi="Arial Black" w:cs="Gotham Black"/>
      <w:b/>
      <w:bCs/>
      <w:color w:val="14489F"/>
      <w:sz w:val="90"/>
      <w:szCs w:val="90"/>
    </w:rPr>
  </w:style>
  <w:style w:type="table" w:styleId="TableGrid">
    <w:name w:val="Table Grid"/>
    <w:basedOn w:val="TableNormal"/>
    <w:uiPriority w:val="99"/>
    <w:rsid w:val="0014203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tergauche">
    <w:name w:val="Inter gauche"/>
    <w:basedOn w:val="Normal"/>
    <w:uiPriority w:val="99"/>
    <w:rsid w:val="00F22C49"/>
    <w:pPr>
      <w:spacing w:after="0" w:line="220" w:lineRule="exact"/>
      <w:ind w:right="-34"/>
    </w:pPr>
    <w:rPr>
      <w:rFonts w:ascii="Arial" w:hAnsi="Arial" w:cs="Arial"/>
      <w:b/>
      <w:bCs/>
      <w:color w:val="14489F"/>
      <w:spacing w:val="-14"/>
      <w:szCs w:val="16"/>
    </w:rPr>
  </w:style>
  <w:style w:type="paragraph" w:customStyle="1" w:styleId="texte">
    <w:name w:val="texte"/>
    <w:basedOn w:val="Normal"/>
    <w:uiPriority w:val="99"/>
    <w:rsid w:val="00D52548"/>
    <w:pPr>
      <w:spacing w:after="0" w:line="230" w:lineRule="exact"/>
      <w:ind w:right="51"/>
    </w:pPr>
    <w:rPr>
      <w:rFonts w:ascii="Arial" w:hAnsi="Arial" w:cs="Gotham Book"/>
      <w:color w:val="231F20"/>
      <w:spacing w:val="-3"/>
      <w:sz w:val="20"/>
      <w:szCs w:val="20"/>
    </w:rPr>
  </w:style>
  <w:style w:type="paragraph" w:styleId="Header">
    <w:name w:val="header"/>
    <w:basedOn w:val="Normal"/>
    <w:link w:val="HeaderChar"/>
    <w:uiPriority w:val="99"/>
    <w:rsid w:val="00142030"/>
    <w:pPr>
      <w:tabs>
        <w:tab w:val="center" w:pos="4536"/>
        <w:tab w:val="right" w:pos="9072"/>
      </w:tabs>
      <w:spacing w:after="0"/>
    </w:pPr>
  </w:style>
  <w:style w:type="character" w:customStyle="1" w:styleId="HeaderChar">
    <w:name w:val="Header Char"/>
    <w:basedOn w:val="DefaultParagraphFont"/>
    <w:link w:val="Header"/>
    <w:uiPriority w:val="99"/>
    <w:locked/>
    <w:rsid w:val="00142030"/>
    <w:rPr>
      <w:rFonts w:cs="Times New Roman"/>
      <w:lang w:val="en-US"/>
    </w:rPr>
  </w:style>
  <w:style w:type="paragraph" w:styleId="Footer">
    <w:name w:val="footer"/>
    <w:basedOn w:val="Normal"/>
    <w:link w:val="FooterChar"/>
    <w:uiPriority w:val="99"/>
    <w:rsid w:val="00142030"/>
    <w:pPr>
      <w:tabs>
        <w:tab w:val="center" w:pos="4536"/>
        <w:tab w:val="right" w:pos="9072"/>
      </w:tabs>
      <w:spacing w:after="0"/>
    </w:pPr>
  </w:style>
  <w:style w:type="character" w:customStyle="1" w:styleId="FooterChar">
    <w:name w:val="Footer Char"/>
    <w:basedOn w:val="DefaultParagraphFont"/>
    <w:link w:val="Footer"/>
    <w:uiPriority w:val="99"/>
    <w:locked/>
    <w:rsid w:val="00142030"/>
    <w:rPr>
      <w:rFonts w:cs="Times New Roman"/>
      <w:lang w:val="en-US"/>
    </w:rPr>
  </w:style>
  <w:style w:type="paragraph" w:styleId="BalloonText">
    <w:name w:val="Balloon Text"/>
    <w:basedOn w:val="Normal"/>
    <w:link w:val="BalloonTextChar"/>
    <w:uiPriority w:val="99"/>
    <w:semiHidden/>
    <w:rsid w:val="003872C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72CF"/>
    <w:rPr>
      <w:rFonts w:ascii="Tahoma" w:hAnsi="Tahoma" w:cs="Tahoma"/>
      <w:sz w:val="16"/>
      <w:szCs w:val="16"/>
      <w:lang w:val="en-US"/>
    </w:rPr>
  </w:style>
  <w:style w:type="character" w:styleId="CommentReference">
    <w:name w:val="annotation reference"/>
    <w:basedOn w:val="DefaultParagraphFont"/>
    <w:uiPriority w:val="99"/>
    <w:semiHidden/>
    <w:rsid w:val="004B5E0D"/>
    <w:rPr>
      <w:rFonts w:cs="Times New Roman"/>
      <w:sz w:val="16"/>
      <w:szCs w:val="16"/>
    </w:rPr>
  </w:style>
  <w:style w:type="paragraph" w:styleId="CommentText">
    <w:name w:val="annotation text"/>
    <w:basedOn w:val="Normal"/>
    <w:link w:val="CommentTextChar"/>
    <w:uiPriority w:val="99"/>
    <w:semiHidden/>
    <w:rsid w:val="004B5E0D"/>
    <w:rPr>
      <w:sz w:val="20"/>
      <w:szCs w:val="20"/>
    </w:rPr>
  </w:style>
  <w:style w:type="character" w:customStyle="1" w:styleId="CommentTextChar">
    <w:name w:val="Comment Text Char"/>
    <w:basedOn w:val="DefaultParagraphFont"/>
    <w:link w:val="CommentText"/>
    <w:uiPriority w:val="99"/>
    <w:semiHidden/>
    <w:locked/>
    <w:rsid w:val="004B5E0D"/>
    <w:rPr>
      <w:rFonts w:cs="Times New Roman"/>
      <w:sz w:val="20"/>
      <w:szCs w:val="20"/>
      <w:lang w:val="en-US"/>
    </w:rPr>
  </w:style>
  <w:style w:type="paragraph" w:styleId="CommentSubject">
    <w:name w:val="annotation subject"/>
    <w:basedOn w:val="CommentText"/>
    <w:next w:val="CommentText"/>
    <w:link w:val="CommentSubjectChar"/>
    <w:uiPriority w:val="99"/>
    <w:semiHidden/>
    <w:rsid w:val="004B5E0D"/>
    <w:rPr>
      <w:b/>
      <w:bCs/>
    </w:rPr>
  </w:style>
  <w:style w:type="character" w:customStyle="1" w:styleId="CommentSubjectChar">
    <w:name w:val="Comment Subject Char"/>
    <w:basedOn w:val="CommentTextChar"/>
    <w:link w:val="CommentSubject"/>
    <w:uiPriority w:val="99"/>
    <w:semiHidden/>
    <w:locked/>
    <w:rsid w:val="004B5E0D"/>
    <w:rPr>
      <w:rFonts w:cs="Times New Roman"/>
      <w:b/>
      <w:bCs/>
      <w:sz w:val="20"/>
      <w:szCs w:val="20"/>
      <w:lang w:val="en-US"/>
    </w:rPr>
  </w:style>
  <w:style w:type="paragraph" w:styleId="Revision">
    <w:name w:val="Revision"/>
    <w:hidden/>
    <w:uiPriority w:val="99"/>
    <w:semiHidden/>
    <w:rsid w:val="00A471E4"/>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ebu.ch/" TargetMode="External"/><Relationship Id="rId1" Type="http://schemas.openxmlformats.org/officeDocument/2006/relationships/hyperlink" Target="mailto:Brussels@ebu.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1022</Words>
  <Characters>5829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EBU-UER</Company>
  <LinksUpToDate>false</LinksUpToDate>
  <CharactersWithSpaces>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dc:creator>
  <cp:lastModifiedBy>Romain Bosc</cp:lastModifiedBy>
  <cp:revision>2</cp:revision>
  <cp:lastPrinted>2015-06-25T13:04:00Z</cp:lastPrinted>
  <dcterms:created xsi:type="dcterms:W3CDTF">2015-07-17T08:57:00Z</dcterms:created>
  <dcterms:modified xsi:type="dcterms:W3CDTF">2015-07-17T08:57:00Z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