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56" w:rsidRPr="00CD2F10" w:rsidRDefault="003B146A" w:rsidP="003B146A">
      <w:pPr>
        <w:keepNext/>
        <w:framePr w:dropCap="drop" w:lines="3" w:wrap="around" w:vAnchor="text" w:hAnchor="page" w:x="1155"/>
        <w:spacing w:after="0" w:line="782" w:lineRule="exact"/>
        <w:textAlignment w:val="baseline"/>
        <w:rPr>
          <w:position w:val="-9"/>
          <w:sz w:val="97"/>
          <w:lang w:val="en-GB"/>
        </w:rPr>
      </w:pPr>
      <w:r>
        <w:rPr>
          <w:position w:val="-9"/>
          <w:sz w:val="97"/>
          <w:lang w:val="en-GB"/>
        </w:rPr>
        <w:t>G</w:t>
      </w:r>
    </w:p>
    <w:p w:rsidR="003B146A" w:rsidRDefault="003B146A" w:rsidP="0074657B">
      <w:pPr>
        <w:rPr>
          <w:lang w:val="en-GB"/>
        </w:rPr>
      </w:pPr>
      <w:r>
        <w:rPr>
          <w:lang w:val="en-GB"/>
        </w:rPr>
        <w:t xml:space="preserve">iven </w:t>
      </w:r>
      <w:r w:rsidRPr="00CD2F10">
        <w:rPr>
          <w:lang w:val="en-GB"/>
        </w:rPr>
        <w:t>the ongoing financial and economic crises</w:t>
      </w:r>
      <w:r>
        <w:rPr>
          <w:lang w:val="en-GB"/>
        </w:rPr>
        <w:t>, the issue of fina</w:t>
      </w:r>
      <w:r w:rsidR="00324032" w:rsidRPr="00CD2F10">
        <w:rPr>
          <w:lang w:val="en-GB"/>
        </w:rPr>
        <w:t>ncial stability remains a priority</w:t>
      </w:r>
      <w:r>
        <w:rPr>
          <w:lang w:val="en-GB"/>
        </w:rPr>
        <w:t xml:space="preserve"> for policy-makers.</w:t>
      </w:r>
      <w:r w:rsidR="00324032" w:rsidRPr="00CD2F10">
        <w:rPr>
          <w:lang w:val="en-GB"/>
        </w:rPr>
        <w:t xml:space="preserve"> As a result, </w:t>
      </w:r>
      <w:r w:rsidR="00403F47" w:rsidRPr="00CD2F10">
        <w:rPr>
          <w:lang w:val="en-GB"/>
        </w:rPr>
        <w:t xml:space="preserve">a number of new </w:t>
      </w:r>
      <w:r w:rsidR="00324032" w:rsidRPr="00CD2F10">
        <w:rPr>
          <w:lang w:val="en-GB"/>
        </w:rPr>
        <w:t xml:space="preserve">pieces of </w:t>
      </w:r>
      <w:r w:rsidR="00403F47" w:rsidRPr="00CD2F10">
        <w:rPr>
          <w:lang w:val="en-GB"/>
        </w:rPr>
        <w:t>legislation and amendments to</w:t>
      </w:r>
      <w:r w:rsidR="00C01DEC" w:rsidRPr="00CD2F10">
        <w:rPr>
          <w:lang w:val="en-GB"/>
        </w:rPr>
        <w:t xml:space="preserve"> </w:t>
      </w:r>
      <w:r w:rsidR="00403F47" w:rsidRPr="00CD2F10">
        <w:rPr>
          <w:lang w:val="en-GB"/>
        </w:rPr>
        <w:t>revamp</w:t>
      </w:r>
      <w:r w:rsidR="00C01DEC" w:rsidRPr="00CD2F10">
        <w:rPr>
          <w:lang w:val="en-GB"/>
        </w:rPr>
        <w:t xml:space="preserve"> the regulatory framework</w:t>
      </w:r>
      <w:r w:rsidR="00324032" w:rsidRPr="00CD2F10">
        <w:rPr>
          <w:lang w:val="en-GB"/>
        </w:rPr>
        <w:t xml:space="preserve"> have been put forward</w:t>
      </w:r>
      <w:r w:rsidR="00C01DEC" w:rsidRPr="00CD2F10">
        <w:rPr>
          <w:lang w:val="en-GB"/>
        </w:rPr>
        <w:t xml:space="preserve">. </w:t>
      </w:r>
      <w:r>
        <w:rPr>
          <w:lang w:val="en-GB"/>
        </w:rPr>
        <w:t>T</w:t>
      </w:r>
      <w:r w:rsidR="00993A6D" w:rsidRPr="00CD2F10">
        <w:rPr>
          <w:lang w:val="en-GB"/>
        </w:rPr>
        <w:t xml:space="preserve">he </w:t>
      </w:r>
      <w:r w:rsidR="00B042DF" w:rsidRPr="00CD2F10">
        <w:rPr>
          <w:lang w:val="en-GB"/>
        </w:rPr>
        <w:t xml:space="preserve">general outlines of the </w:t>
      </w:r>
      <w:r w:rsidR="007D171D" w:rsidRPr="00CD2F10">
        <w:rPr>
          <w:lang w:val="en-GB"/>
        </w:rPr>
        <w:t>propo</w:t>
      </w:r>
      <w:r w:rsidR="00993A6D" w:rsidRPr="00CD2F10">
        <w:rPr>
          <w:lang w:val="en-GB"/>
        </w:rPr>
        <w:t xml:space="preserve">sals are </w:t>
      </w:r>
      <w:r>
        <w:rPr>
          <w:lang w:val="en-GB"/>
        </w:rPr>
        <w:t>now</w:t>
      </w:r>
      <w:r w:rsidR="00993A6D" w:rsidRPr="00CD2F10">
        <w:rPr>
          <w:lang w:val="en-GB"/>
        </w:rPr>
        <w:t xml:space="preserve"> on the table, </w:t>
      </w:r>
      <w:r>
        <w:rPr>
          <w:lang w:val="en-GB"/>
        </w:rPr>
        <w:t xml:space="preserve">but </w:t>
      </w:r>
      <w:r w:rsidR="00993A6D" w:rsidRPr="00CD2F10">
        <w:rPr>
          <w:lang w:val="en-GB"/>
        </w:rPr>
        <w:t>the technical details</w:t>
      </w:r>
      <w:r>
        <w:rPr>
          <w:lang w:val="en-GB"/>
        </w:rPr>
        <w:t xml:space="preserve"> that </w:t>
      </w:r>
      <w:r w:rsidR="00993A6D" w:rsidRPr="00CD2F10">
        <w:rPr>
          <w:lang w:val="en-GB"/>
        </w:rPr>
        <w:t xml:space="preserve">will have </w:t>
      </w:r>
      <w:r w:rsidR="00B042DF" w:rsidRPr="00CD2F10">
        <w:rPr>
          <w:lang w:val="en-GB"/>
        </w:rPr>
        <w:t xml:space="preserve">a </w:t>
      </w:r>
      <w:r w:rsidR="00993A6D" w:rsidRPr="00CD2F10">
        <w:rPr>
          <w:lang w:val="en-GB"/>
        </w:rPr>
        <w:t>substantial impact on the day-to-day operations of financial institutions a</w:t>
      </w:r>
      <w:r>
        <w:rPr>
          <w:lang w:val="en-GB"/>
        </w:rPr>
        <w:t>nd</w:t>
      </w:r>
      <w:r w:rsidR="00993A6D" w:rsidRPr="00CD2F10">
        <w:rPr>
          <w:lang w:val="en-GB"/>
        </w:rPr>
        <w:t xml:space="preserve"> society </w:t>
      </w:r>
      <w:r w:rsidR="00324032" w:rsidRPr="00CD2F10">
        <w:rPr>
          <w:lang w:val="en-GB"/>
        </w:rPr>
        <w:t>as a whole</w:t>
      </w:r>
      <w:r w:rsidR="00993A6D" w:rsidRPr="00CD2F10">
        <w:rPr>
          <w:lang w:val="en-GB"/>
        </w:rPr>
        <w:t xml:space="preserve"> </w:t>
      </w:r>
      <w:r w:rsidR="007D171D" w:rsidRPr="00CD2F10">
        <w:rPr>
          <w:lang w:val="en-GB"/>
        </w:rPr>
        <w:t xml:space="preserve">are yet to be </w:t>
      </w:r>
      <w:r w:rsidR="00993A6D" w:rsidRPr="00CD2F10">
        <w:rPr>
          <w:lang w:val="en-GB"/>
        </w:rPr>
        <w:t xml:space="preserve">fully </w:t>
      </w:r>
      <w:r w:rsidR="00B042DF" w:rsidRPr="00CD2F10">
        <w:rPr>
          <w:lang w:val="en-GB"/>
        </w:rPr>
        <w:t>defined</w:t>
      </w:r>
      <w:r w:rsidR="007D171D" w:rsidRPr="00CD2F10">
        <w:rPr>
          <w:lang w:val="en-GB"/>
        </w:rPr>
        <w:t xml:space="preserve">. </w:t>
      </w:r>
    </w:p>
    <w:p w:rsidR="00FF3B6D" w:rsidRPr="00CD2F10" w:rsidRDefault="003B146A" w:rsidP="0074657B">
      <w:pPr>
        <w:rPr>
          <w:lang w:val="en-GB"/>
        </w:rPr>
      </w:pPr>
      <w:r w:rsidRPr="00CD2F10">
        <w:rPr>
          <w:lang w:val="en-GB"/>
        </w:rPr>
        <w:t xml:space="preserve">Throughout </w:t>
      </w:r>
      <w:r>
        <w:rPr>
          <w:lang w:val="en-GB"/>
        </w:rPr>
        <w:t>2012</w:t>
      </w:r>
      <w:r w:rsidR="007D171D" w:rsidRPr="00CD2F10">
        <w:rPr>
          <w:lang w:val="en-GB"/>
        </w:rPr>
        <w:t>,</w:t>
      </w:r>
      <w:r w:rsidR="00993A6D" w:rsidRPr="00CD2F10">
        <w:rPr>
          <w:lang w:val="en-GB"/>
        </w:rPr>
        <w:t xml:space="preserve"> the </w:t>
      </w:r>
      <w:r w:rsidR="00993A6D" w:rsidRPr="006D2E9C">
        <w:rPr>
          <w:lang w:val="en-GB"/>
        </w:rPr>
        <w:t>F</w:t>
      </w:r>
      <w:r w:rsidR="00C01DEC" w:rsidRPr="006D2E9C">
        <w:rPr>
          <w:lang w:val="en-GB"/>
        </w:rPr>
        <w:t>inancial</w:t>
      </w:r>
      <w:r w:rsidR="00324032" w:rsidRPr="006D2E9C">
        <w:rPr>
          <w:lang w:val="en-GB"/>
        </w:rPr>
        <w:t xml:space="preserve"> </w:t>
      </w:r>
      <w:r w:rsidR="00C01DEC" w:rsidRPr="006D2E9C">
        <w:rPr>
          <w:lang w:val="en-GB"/>
        </w:rPr>
        <w:t>Institutions Unit</w:t>
      </w:r>
      <w:r w:rsidR="00C01DEC" w:rsidRPr="00CD2F10">
        <w:rPr>
          <w:lang w:val="en-GB"/>
        </w:rPr>
        <w:t xml:space="preserve"> </w:t>
      </w:r>
      <w:r w:rsidR="00993A6D" w:rsidRPr="00CD2F10">
        <w:rPr>
          <w:lang w:val="en-GB"/>
        </w:rPr>
        <w:t xml:space="preserve">of CEPS </w:t>
      </w:r>
      <w:r w:rsidR="00C01DEC" w:rsidRPr="00CD2F10">
        <w:rPr>
          <w:lang w:val="en-GB"/>
        </w:rPr>
        <w:t xml:space="preserve">will </w:t>
      </w:r>
      <w:r w:rsidR="00403F47" w:rsidRPr="00CD2F10">
        <w:rPr>
          <w:lang w:val="en-GB"/>
        </w:rPr>
        <w:t>o</w:t>
      </w:r>
      <w:r w:rsidR="00C01DEC" w:rsidRPr="00CD2F10">
        <w:rPr>
          <w:lang w:val="en-GB"/>
        </w:rPr>
        <w:t>rgani</w:t>
      </w:r>
      <w:r w:rsidR="00324032" w:rsidRPr="00CD2F10">
        <w:rPr>
          <w:lang w:val="en-GB"/>
        </w:rPr>
        <w:t>s</w:t>
      </w:r>
      <w:r w:rsidR="00C01DEC" w:rsidRPr="00CD2F10">
        <w:rPr>
          <w:lang w:val="en-GB"/>
        </w:rPr>
        <w:t xml:space="preserve">e a series of </w:t>
      </w:r>
      <w:r w:rsidR="00312257" w:rsidRPr="00CD2F10">
        <w:rPr>
          <w:lang w:val="en-GB"/>
        </w:rPr>
        <w:t xml:space="preserve">high-level </w:t>
      </w:r>
      <w:r w:rsidR="00C01DEC" w:rsidRPr="00CD2F10">
        <w:rPr>
          <w:lang w:val="en-GB"/>
        </w:rPr>
        <w:t>roundtable</w:t>
      </w:r>
      <w:r>
        <w:rPr>
          <w:lang w:val="en-GB"/>
        </w:rPr>
        <w:t xml:space="preserve"> meetings</w:t>
      </w:r>
      <w:r w:rsidR="007D171D" w:rsidRPr="00CD2F10">
        <w:rPr>
          <w:lang w:val="en-GB"/>
        </w:rPr>
        <w:t xml:space="preserve"> </w:t>
      </w:r>
      <w:r w:rsidR="00993A6D" w:rsidRPr="00CD2F10">
        <w:rPr>
          <w:lang w:val="en-GB"/>
        </w:rPr>
        <w:t xml:space="preserve">among </w:t>
      </w:r>
      <w:r w:rsidR="00B042DF" w:rsidRPr="00CD2F10">
        <w:rPr>
          <w:lang w:val="en-GB"/>
        </w:rPr>
        <w:t>researchers</w:t>
      </w:r>
      <w:r w:rsidR="00993A6D" w:rsidRPr="00CD2F10">
        <w:rPr>
          <w:lang w:val="en-GB"/>
        </w:rPr>
        <w:t xml:space="preserve">, </w:t>
      </w:r>
      <w:r w:rsidR="00B042DF" w:rsidRPr="00CD2F10">
        <w:rPr>
          <w:lang w:val="en-GB"/>
        </w:rPr>
        <w:t xml:space="preserve">industry </w:t>
      </w:r>
      <w:r w:rsidR="00993A6D" w:rsidRPr="00CD2F10">
        <w:rPr>
          <w:lang w:val="en-GB"/>
        </w:rPr>
        <w:t>experts</w:t>
      </w:r>
      <w:r w:rsidR="007D171D" w:rsidRPr="00CD2F10">
        <w:rPr>
          <w:lang w:val="en-GB"/>
        </w:rPr>
        <w:t xml:space="preserve">, </w:t>
      </w:r>
      <w:r w:rsidR="00993A6D" w:rsidRPr="00CD2F10">
        <w:rPr>
          <w:lang w:val="en-GB"/>
        </w:rPr>
        <w:t xml:space="preserve">and key </w:t>
      </w:r>
      <w:r w:rsidR="00324032" w:rsidRPr="00CD2F10">
        <w:rPr>
          <w:lang w:val="en-GB"/>
        </w:rPr>
        <w:t>policy-</w:t>
      </w:r>
      <w:r w:rsidR="00B042DF" w:rsidRPr="00CD2F10">
        <w:rPr>
          <w:lang w:val="en-GB"/>
        </w:rPr>
        <w:t>makers</w:t>
      </w:r>
      <w:r w:rsidR="00D43EE9" w:rsidRPr="00CD2F10">
        <w:rPr>
          <w:lang w:val="en-GB"/>
        </w:rPr>
        <w:t xml:space="preserve"> to debate the </w:t>
      </w:r>
      <w:r w:rsidR="00464D71" w:rsidRPr="00CD2F10">
        <w:rPr>
          <w:lang w:val="en-GB"/>
        </w:rPr>
        <w:t xml:space="preserve">future </w:t>
      </w:r>
      <w:r w:rsidR="00D43EE9" w:rsidRPr="00CD2F10">
        <w:rPr>
          <w:lang w:val="en-GB"/>
        </w:rPr>
        <w:t>design</w:t>
      </w:r>
      <w:r w:rsidR="00464D71" w:rsidRPr="00CD2F10">
        <w:rPr>
          <w:lang w:val="en-GB"/>
        </w:rPr>
        <w:t xml:space="preserve"> and potential consequences of forthcoming </w:t>
      </w:r>
      <w:r w:rsidR="00D43EE9" w:rsidRPr="00CD2F10">
        <w:rPr>
          <w:lang w:val="en-GB"/>
        </w:rPr>
        <w:t xml:space="preserve">financial </w:t>
      </w:r>
      <w:r w:rsidR="00464D71" w:rsidRPr="00CD2F10">
        <w:rPr>
          <w:lang w:val="en-GB"/>
        </w:rPr>
        <w:t>regulatory frameworks</w:t>
      </w:r>
      <w:r w:rsidR="00D43EE9" w:rsidRPr="00CD2F10">
        <w:rPr>
          <w:lang w:val="en-GB"/>
        </w:rPr>
        <w:t xml:space="preserve">. </w:t>
      </w:r>
    </w:p>
    <w:p w:rsidR="00FF3B6D" w:rsidRPr="00CD2F10" w:rsidRDefault="007D171D" w:rsidP="0074657B">
      <w:pPr>
        <w:rPr>
          <w:lang w:val="en-GB"/>
        </w:rPr>
      </w:pPr>
      <w:r w:rsidRPr="00CD2F10">
        <w:rPr>
          <w:lang w:val="en-GB"/>
        </w:rPr>
        <w:t>At least</w:t>
      </w:r>
      <w:r w:rsidR="00C01DEC" w:rsidRPr="00CD2F10">
        <w:rPr>
          <w:lang w:val="en-GB"/>
        </w:rPr>
        <w:t xml:space="preserve"> </w:t>
      </w:r>
      <w:r w:rsidR="00E667AA" w:rsidRPr="00CD2F10">
        <w:rPr>
          <w:lang w:val="en-GB"/>
        </w:rPr>
        <w:t>four</w:t>
      </w:r>
      <w:r w:rsidR="00C01DEC" w:rsidRPr="00CD2F10">
        <w:rPr>
          <w:lang w:val="en-GB"/>
        </w:rPr>
        <w:t xml:space="preserve"> </w:t>
      </w:r>
      <w:r w:rsidR="00993A6D" w:rsidRPr="00CD2F10">
        <w:rPr>
          <w:lang w:val="en-GB"/>
        </w:rPr>
        <w:t xml:space="preserve">topical </w:t>
      </w:r>
      <w:r w:rsidR="00C01DEC" w:rsidRPr="00CD2F10">
        <w:rPr>
          <w:lang w:val="en-GB"/>
        </w:rPr>
        <w:t>round</w:t>
      </w:r>
      <w:r w:rsidR="00324032" w:rsidRPr="00CD2F10">
        <w:rPr>
          <w:lang w:val="en-GB"/>
        </w:rPr>
        <w:t xml:space="preserve"> </w:t>
      </w:r>
      <w:r w:rsidR="00C01DEC" w:rsidRPr="00CD2F10">
        <w:rPr>
          <w:lang w:val="en-GB"/>
        </w:rPr>
        <w:t xml:space="preserve">tables </w:t>
      </w:r>
      <w:r w:rsidRPr="00CD2F10">
        <w:rPr>
          <w:lang w:val="en-GB"/>
        </w:rPr>
        <w:t xml:space="preserve">are </w:t>
      </w:r>
      <w:r w:rsidR="00324032" w:rsidRPr="00CD2F10">
        <w:rPr>
          <w:lang w:val="en-GB"/>
        </w:rPr>
        <w:t>planned</w:t>
      </w:r>
      <w:r w:rsidR="00993A6D" w:rsidRPr="00CD2F10">
        <w:rPr>
          <w:lang w:val="en-GB"/>
        </w:rPr>
        <w:t xml:space="preserve">, </w:t>
      </w:r>
      <w:r w:rsidRPr="00CD2F10">
        <w:rPr>
          <w:lang w:val="en-GB"/>
        </w:rPr>
        <w:t xml:space="preserve">covering the </w:t>
      </w:r>
      <w:r w:rsidR="00C01DEC" w:rsidRPr="00CD2F10">
        <w:rPr>
          <w:lang w:val="en-GB"/>
        </w:rPr>
        <w:t>future of banking and insurance regulation</w:t>
      </w:r>
      <w:r w:rsidR="00E667AA" w:rsidRPr="00CD2F10">
        <w:rPr>
          <w:lang w:val="en-GB"/>
        </w:rPr>
        <w:t xml:space="preserve">, </w:t>
      </w:r>
      <w:r w:rsidR="00464D71" w:rsidRPr="00CD2F10">
        <w:rPr>
          <w:lang w:val="en-GB"/>
        </w:rPr>
        <w:t>crisis management</w:t>
      </w:r>
      <w:r w:rsidR="00324032" w:rsidRPr="00CD2F10">
        <w:rPr>
          <w:lang w:val="en-GB"/>
        </w:rPr>
        <w:t xml:space="preserve"> and </w:t>
      </w:r>
      <w:r w:rsidR="00E667AA" w:rsidRPr="00CD2F10">
        <w:rPr>
          <w:lang w:val="en-GB"/>
        </w:rPr>
        <w:t>shadow banking</w:t>
      </w:r>
      <w:r w:rsidRPr="00CD2F10">
        <w:rPr>
          <w:lang w:val="en-GB"/>
        </w:rPr>
        <w:t xml:space="preserve">. </w:t>
      </w:r>
      <w:r w:rsidR="00993A6D" w:rsidRPr="00CD2F10">
        <w:rPr>
          <w:lang w:val="en-GB"/>
        </w:rPr>
        <w:t xml:space="preserve">The </w:t>
      </w:r>
      <w:r w:rsidR="00324032" w:rsidRPr="00CD2F10">
        <w:rPr>
          <w:lang w:val="en-GB"/>
        </w:rPr>
        <w:t>topics</w:t>
      </w:r>
      <w:r w:rsidR="00993A6D" w:rsidRPr="00CD2F10">
        <w:rPr>
          <w:lang w:val="en-GB"/>
        </w:rPr>
        <w:t xml:space="preserve"> may be expanded over time to reflect interests</w:t>
      </w:r>
      <w:r w:rsidR="00B042DF" w:rsidRPr="00CD2F10">
        <w:rPr>
          <w:lang w:val="en-GB"/>
        </w:rPr>
        <w:t xml:space="preserve"> and the </w:t>
      </w:r>
      <w:r w:rsidR="003B146A">
        <w:rPr>
          <w:lang w:val="en-GB"/>
        </w:rPr>
        <w:t>changing</w:t>
      </w:r>
      <w:r w:rsidR="00D43EE9" w:rsidRPr="00CD2F10">
        <w:rPr>
          <w:lang w:val="en-GB"/>
        </w:rPr>
        <w:t xml:space="preserve"> </w:t>
      </w:r>
      <w:r w:rsidR="00B042DF" w:rsidRPr="00CD2F10">
        <w:rPr>
          <w:lang w:val="en-GB"/>
        </w:rPr>
        <w:t>regulatory agenda</w:t>
      </w:r>
      <w:r w:rsidR="00993A6D" w:rsidRPr="00CD2F10">
        <w:rPr>
          <w:lang w:val="en-GB"/>
        </w:rPr>
        <w:t xml:space="preserve">. The </w:t>
      </w:r>
      <w:r w:rsidR="00E667AA" w:rsidRPr="00CD2F10">
        <w:rPr>
          <w:lang w:val="en-GB"/>
        </w:rPr>
        <w:t>four</w:t>
      </w:r>
      <w:r w:rsidR="00B042DF" w:rsidRPr="00CD2F10">
        <w:rPr>
          <w:lang w:val="en-GB"/>
        </w:rPr>
        <w:t xml:space="preserve"> round</w:t>
      </w:r>
      <w:r w:rsidR="00324032" w:rsidRPr="00CD2F10">
        <w:rPr>
          <w:lang w:val="en-GB"/>
        </w:rPr>
        <w:t xml:space="preserve"> </w:t>
      </w:r>
      <w:r w:rsidR="00B042DF" w:rsidRPr="00CD2F10">
        <w:rPr>
          <w:lang w:val="en-GB"/>
        </w:rPr>
        <w:t xml:space="preserve">tables currently </w:t>
      </w:r>
      <w:r w:rsidR="0074657B" w:rsidRPr="00CD2F10">
        <w:rPr>
          <w:lang w:val="en-GB"/>
        </w:rPr>
        <w:t>planned</w:t>
      </w:r>
      <w:r w:rsidR="00B042DF" w:rsidRPr="00CD2F10">
        <w:rPr>
          <w:lang w:val="en-GB"/>
        </w:rPr>
        <w:t xml:space="preserve"> </w:t>
      </w:r>
      <w:r w:rsidR="003B146A">
        <w:rPr>
          <w:lang w:val="en-GB"/>
        </w:rPr>
        <w:t>are:</w:t>
      </w:r>
    </w:p>
    <w:p w:rsidR="00FF3B6D" w:rsidRPr="00CD2F10" w:rsidRDefault="00C01DEC" w:rsidP="0074657B">
      <w:pPr>
        <w:spacing w:before="240"/>
        <w:rPr>
          <w:b/>
          <w:color w:val="4E7161"/>
          <w:szCs w:val="20"/>
          <w:lang w:val="en-GB"/>
        </w:rPr>
      </w:pPr>
      <w:r w:rsidRPr="00CD2F10">
        <w:rPr>
          <w:b/>
          <w:color w:val="4E7161"/>
          <w:szCs w:val="20"/>
          <w:lang w:val="en-GB"/>
        </w:rPr>
        <w:t xml:space="preserve">Roundtable 1: </w:t>
      </w:r>
      <w:r w:rsidR="002A34CE" w:rsidRPr="002A34CE">
        <w:rPr>
          <w:b/>
          <w:color w:val="4E7161"/>
          <w:szCs w:val="20"/>
          <w:lang w:val="en-GB"/>
        </w:rPr>
        <w:t>I</w:t>
      </w:r>
      <w:r w:rsidR="002A34CE">
        <w:rPr>
          <w:b/>
          <w:color w:val="4E7161"/>
          <w:szCs w:val="20"/>
          <w:lang w:val="en-GB"/>
        </w:rPr>
        <w:t xml:space="preserve">mplementation of Basel III in the EU </w:t>
      </w:r>
      <w:r w:rsidRPr="00CD2F10">
        <w:rPr>
          <w:b/>
          <w:color w:val="4E7161"/>
          <w:szCs w:val="20"/>
          <w:lang w:val="en-GB"/>
        </w:rPr>
        <w:t>(</w:t>
      </w:r>
      <w:r w:rsidR="003B7D0B">
        <w:rPr>
          <w:b/>
          <w:color w:val="4E7161"/>
          <w:szCs w:val="20"/>
          <w:lang w:val="en-GB"/>
        </w:rPr>
        <w:t>CRR/</w:t>
      </w:r>
      <w:r w:rsidRPr="00CD2F10">
        <w:rPr>
          <w:b/>
          <w:color w:val="4E7161"/>
          <w:szCs w:val="20"/>
          <w:lang w:val="en-GB"/>
        </w:rPr>
        <w:t xml:space="preserve">CRD </w:t>
      </w:r>
      <w:r w:rsidR="004A307E" w:rsidRPr="00CD2F10">
        <w:rPr>
          <w:b/>
          <w:color w:val="4E7161"/>
          <w:szCs w:val="20"/>
          <w:lang w:val="en-GB"/>
        </w:rPr>
        <w:t>IV</w:t>
      </w:r>
      <w:r w:rsidRPr="00CD2F10">
        <w:rPr>
          <w:b/>
          <w:color w:val="4E7161"/>
          <w:szCs w:val="20"/>
          <w:lang w:val="en-GB"/>
        </w:rPr>
        <w:t>)</w:t>
      </w:r>
      <w:r w:rsidR="004A307E" w:rsidRPr="00CD2F10">
        <w:rPr>
          <w:b/>
          <w:color w:val="4E7161"/>
          <w:szCs w:val="20"/>
          <w:lang w:val="en-GB"/>
        </w:rPr>
        <w:t xml:space="preserve"> </w:t>
      </w:r>
      <w:r w:rsidRPr="00CD2F10">
        <w:rPr>
          <w:b/>
          <w:color w:val="4E7161"/>
          <w:szCs w:val="20"/>
          <w:lang w:val="en-GB"/>
        </w:rPr>
        <w:t>(</w:t>
      </w:r>
      <w:r w:rsidR="004A307E" w:rsidRPr="00CD2F10">
        <w:rPr>
          <w:b/>
          <w:color w:val="4E7161"/>
          <w:szCs w:val="20"/>
          <w:lang w:val="en-GB"/>
        </w:rPr>
        <w:t xml:space="preserve">12 </w:t>
      </w:r>
      <w:r w:rsidRPr="00CD2F10">
        <w:rPr>
          <w:b/>
          <w:color w:val="4E7161"/>
          <w:szCs w:val="20"/>
          <w:lang w:val="en-GB"/>
        </w:rPr>
        <w:t xml:space="preserve">April </w:t>
      </w:r>
      <w:r w:rsidR="004A307E" w:rsidRPr="00CD2F10">
        <w:rPr>
          <w:b/>
          <w:color w:val="4E7161"/>
          <w:szCs w:val="20"/>
          <w:lang w:val="en-GB"/>
        </w:rPr>
        <w:t>2012</w:t>
      </w:r>
      <w:r w:rsidRPr="00CD2F10">
        <w:rPr>
          <w:b/>
          <w:color w:val="4E7161"/>
          <w:szCs w:val="20"/>
          <w:lang w:val="en-GB"/>
        </w:rPr>
        <w:t>)</w:t>
      </w:r>
    </w:p>
    <w:p w:rsidR="00FF3B6D" w:rsidRPr="00CD2F10" w:rsidRDefault="00C01DEC" w:rsidP="0074657B">
      <w:pPr>
        <w:rPr>
          <w:lang w:val="en-GB"/>
        </w:rPr>
      </w:pPr>
      <w:r w:rsidRPr="00CD2F10">
        <w:rPr>
          <w:lang w:val="en-GB"/>
        </w:rPr>
        <w:t xml:space="preserve">The banking sector </w:t>
      </w:r>
      <w:r w:rsidR="00B75B70" w:rsidRPr="00CD2F10">
        <w:rPr>
          <w:lang w:val="en-GB"/>
        </w:rPr>
        <w:t xml:space="preserve">has </w:t>
      </w:r>
      <w:r w:rsidR="003B146A">
        <w:rPr>
          <w:lang w:val="en-GB"/>
        </w:rPr>
        <w:t xml:space="preserve">recently </w:t>
      </w:r>
      <w:r w:rsidR="00B75B70" w:rsidRPr="00CD2F10">
        <w:rPr>
          <w:lang w:val="en-GB"/>
        </w:rPr>
        <w:t>been</w:t>
      </w:r>
      <w:r w:rsidRPr="00CD2F10">
        <w:rPr>
          <w:lang w:val="en-GB"/>
        </w:rPr>
        <w:t xml:space="preserve"> subject to drastic regulatory reforms. </w:t>
      </w:r>
      <w:r w:rsidR="00324ECC" w:rsidRPr="00CD2F10">
        <w:rPr>
          <w:lang w:val="en-GB"/>
        </w:rPr>
        <w:t>In addition to requiring banks to hold more and better capital, t</w:t>
      </w:r>
      <w:r w:rsidR="00FF2483" w:rsidRPr="00CD2F10">
        <w:rPr>
          <w:lang w:val="en-GB"/>
        </w:rPr>
        <w:t xml:space="preserve">he CRD IV proposal </w:t>
      </w:r>
      <w:r w:rsidR="00324ECC" w:rsidRPr="00CD2F10">
        <w:rPr>
          <w:lang w:val="en-GB"/>
        </w:rPr>
        <w:t>introduces a number of concepts</w:t>
      </w:r>
      <w:r w:rsidR="00B75B70" w:rsidRPr="00CD2F10">
        <w:rPr>
          <w:lang w:val="en-GB"/>
        </w:rPr>
        <w:t xml:space="preserve"> that will most likely be the cornerstone of future regulation</w:t>
      </w:r>
      <w:r w:rsidR="00324ECC" w:rsidRPr="00CD2F10">
        <w:rPr>
          <w:lang w:val="en-GB"/>
        </w:rPr>
        <w:t xml:space="preserve">, including liquidity requirements, capital buffers, and leverage ratio. </w:t>
      </w:r>
      <w:r w:rsidRPr="00CD2F10">
        <w:rPr>
          <w:lang w:val="en-GB"/>
        </w:rPr>
        <w:t xml:space="preserve">The first roundtable will discuss the legislative proposal, which is </w:t>
      </w:r>
      <w:r w:rsidR="00D43EE9" w:rsidRPr="00CD2F10">
        <w:rPr>
          <w:lang w:val="en-GB"/>
        </w:rPr>
        <w:t>currently scheduled to</w:t>
      </w:r>
      <w:r w:rsidRPr="00CD2F10">
        <w:rPr>
          <w:lang w:val="en-GB"/>
        </w:rPr>
        <w:t xml:space="preserve"> be adopted by the European Parliament</w:t>
      </w:r>
      <w:r w:rsidR="00D43EE9" w:rsidRPr="00CD2F10">
        <w:rPr>
          <w:lang w:val="en-GB"/>
        </w:rPr>
        <w:t xml:space="preserve"> by the summer of 2012</w:t>
      </w:r>
      <w:r w:rsidR="00B75B70" w:rsidRPr="00CD2F10">
        <w:rPr>
          <w:lang w:val="en-GB"/>
        </w:rPr>
        <w:t xml:space="preserve">, and a variety of </w:t>
      </w:r>
      <w:r w:rsidR="00324ECC" w:rsidRPr="00CD2F10">
        <w:rPr>
          <w:lang w:val="en-GB"/>
        </w:rPr>
        <w:t>technical details</w:t>
      </w:r>
      <w:r w:rsidR="00B75B70" w:rsidRPr="00CD2F10">
        <w:rPr>
          <w:lang w:val="en-GB"/>
        </w:rPr>
        <w:t xml:space="preserve"> that remain to be </w:t>
      </w:r>
      <w:r w:rsidR="0074657B" w:rsidRPr="00CD2F10">
        <w:rPr>
          <w:lang w:val="en-GB"/>
        </w:rPr>
        <w:t>defined</w:t>
      </w:r>
      <w:r w:rsidR="00B75B70" w:rsidRPr="00CD2F10">
        <w:rPr>
          <w:lang w:val="en-GB"/>
        </w:rPr>
        <w:t xml:space="preserve"> by the European Banking Authority </w:t>
      </w:r>
      <w:r w:rsidR="007B1476" w:rsidRPr="00CD2F10">
        <w:rPr>
          <w:lang w:val="en-GB"/>
        </w:rPr>
        <w:t xml:space="preserve">(EBA) </w:t>
      </w:r>
      <w:r w:rsidR="00B75B70" w:rsidRPr="00CD2F10">
        <w:rPr>
          <w:lang w:val="en-GB"/>
        </w:rPr>
        <w:t xml:space="preserve">in </w:t>
      </w:r>
      <w:r w:rsidR="0074657B" w:rsidRPr="00CD2F10">
        <w:rPr>
          <w:lang w:val="en-GB"/>
        </w:rPr>
        <w:t>c</w:t>
      </w:r>
      <w:r w:rsidR="00B75B70" w:rsidRPr="00CD2F10">
        <w:rPr>
          <w:lang w:val="en-GB"/>
        </w:rPr>
        <w:t xml:space="preserve">oming years. </w:t>
      </w:r>
    </w:p>
    <w:p w:rsidR="00FF3B6D" w:rsidRPr="00CD2F10" w:rsidRDefault="00C01DEC" w:rsidP="0074657B">
      <w:pPr>
        <w:spacing w:before="240"/>
        <w:rPr>
          <w:b/>
          <w:color w:val="4E7161"/>
          <w:szCs w:val="20"/>
          <w:lang w:val="en-GB"/>
        </w:rPr>
      </w:pPr>
      <w:r w:rsidRPr="00CD2F10">
        <w:rPr>
          <w:b/>
          <w:color w:val="4E7161"/>
          <w:szCs w:val="20"/>
          <w:lang w:val="en-GB"/>
        </w:rPr>
        <w:t xml:space="preserve">Roundtable 2: </w:t>
      </w:r>
      <w:r w:rsidR="004A307E" w:rsidRPr="00CD2F10">
        <w:rPr>
          <w:b/>
          <w:color w:val="4E7161"/>
          <w:szCs w:val="20"/>
          <w:lang w:val="en-GB"/>
        </w:rPr>
        <w:t>Solvency II</w:t>
      </w:r>
      <w:r w:rsidRPr="00CD2F10">
        <w:rPr>
          <w:b/>
          <w:color w:val="4E7161"/>
          <w:szCs w:val="20"/>
          <w:lang w:val="en-GB"/>
        </w:rPr>
        <w:t xml:space="preserve"> (</w:t>
      </w:r>
      <w:r w:rsidR="00150CDA" w:rsidRPr="00CD2F10">
        <w:rPr>
          <w:b/>
          <w:color w:val="4E7161"/>
          <w:szCs w:val="20"/>
          <w:lang w:val="en-GB"/>
        </w:rPr>
        <w:t>6 June 2012</w:t>
      </w:r>
      <w:r w:rsidRPr="00CD2F10">
        <w:rPr>
          <w:b/>
          <w:color w:val="4E7161"/>
          <w:szCs w:val="20"/>
          <w:lang w:val="en-GB"/>
        </w:rPr>
        <w:t>)</w:t>
      </w:r>
    </w:p>
    <w:p w:rsidR="00FF3B6D" w:rsidRPr="00CD2F10" w:rsidRDefault="00D43EE9">
      <w:pPr>
        <w:spacing w:after="0"/>
        <w:rPr>
          <w:szCs w:val="20"/>
          <w:lang w:val="en-GB"/>
        </w:rPr>
      </w:pPr>
      <w:r w:rsidRPr="00CD2F10">
        <w:rPr>
          <w:szCs w:val="20"/>
          <w:lang w:val="en-GB"/>
        </w:rPr>
        <w:t>L</w:t>
      </w:r>
      <w:r w:rsidR="00C01DEC" w:rsidRPr="00CD2F10">
        <w:rPr>
          <w:szCs w:val="20"/>
          <w:lang w:val="en-GB"/>
        </w:rPr>
        <w:t xml:space="preserve">ess </w:t>
      </w:r>
      <w:r w:rsidR="002E36F2">
        <w:rPr>
          <w:szCs w:val="20"/>
          <w:lang w:val="en-GB"/>
        </w:rPr>
        <w:t>under scrutiny</w:t>
      </w:r>
      <w:r w:rsidR="00C01DEC" w:rsidRPr="00CD2F10">
        <w:rPr>
          <w:szCs w:val="20"/>
          <w:lang w:val="en-GB"/>
        </w:rPr>
        <w:t xml:space="preserve"> than the banking sector during the crisis, </w:t>
      </w:r>
      <w:r w:rsidRPr="00CD2F10">
        <w:rPr>
          <w:szCs w:val="20"/>
          <w:lang w:val="en-GB"/>
        </w:rPr>
        <w:t xml:space="preserve">the insurance sector </w:t>
      </w:r>
      <w:r w:rsidR="00C01DEC" w:rsidRPr="00CD2F10">
        <w:rPr>
          <w:szCs w:val="20"/>
          <w:lang w:val="en-GB"/>
        </w:rPr>
        <w:t xml:space="preserve">will </w:t>
      </w:r>
      <w:r w:rsidR="003401E4" w:rsidRPr="00CD2F10">
        <w:rPr>
          <w:szCs w:val="20"/>
          <w:lang w:val="en-GB"/>
        </w:rPr>
        <w:t xml:space="preserve">also </w:t>
      </w:r>
      <w:r w:rsidR="00C01DEC" w:rsidRPr="00CD2F10">
        <w:rPr>
          <w:szCs w:val="20"/>
          <w:lang w:val="en-GB"/>
        </w:rPr>
        <w:t xml:space="preserve">face drastic regulatory changes </w:t>
      </w:r>
      <w:r w:rsidRPr="00CD2F10">
        <w:rPr>
          <w:szCs w:val="20"/>
          <w:lang w:val="en-GB"/>
        </w:rPr>
        <w:t>in years</w:t>
      </w:r>
      <w:r w:rsidR="002E36F2">
        <w:rPr>
          <w:szCs w:val="20"/>
          <w:lang w:val="en-GB"/>
        </w:rPr>
        <w:t xml:space="preserve"> to come</w:t>
      </w:r>
      <w:r w:rsidR="003401E4" w:rsidRPr="00CD2F10">
        <w:rPr>
          <w:szCs w:val="20"/>
          <w:lang w:val="en-GB"/>
        </w:rPr>
        <w:t xml:space="preserve">. The new Solvency II regime must improve resilience and harmonise </w:t>
      </w:r>
      <w:r w:rsidR="00B66731">
        <w:rPr>
          <w:szCs w:val="20"/>
          <w:lang w:val="en-GB"/>
        </w:rPr>
        <w:t>solvency</w:t>
      </w:r>
      <w:r w:rsidR="003401E4" w:rsidRPr="00CD2F10">
        <w:rPr>
          <w:szCs w:val="20"/>
          <w:lang w:val="en-GB"/>
        </w:rPr>
        <w:t xml:space="preserve"> regulation across countries and sectors. </w:t>
      </w:r>
      <w:r w:rsidR="00BC1926" w:rsidRPr="00CD2F10">
        <w:rPr>
          <w:szCs w:val="20"/>
          <w:lang w:val="en-GB"/>
        </w:rPr>
        <w:t xml:space="preserve">Although the directive was adopted in 2009, the </w:t>
      </w:r>
      <w:r w:rsidR="000B4FCF" w:rsidRPr="00CD2F10">
        <w:rPr>
          <w:szCs w:val="20"/>
          <w:lang w:val="en-GB"/>
        </w:rPr>
        <w:t xml:space="preserve">entry date and scope of technical standards are still </w:t>
      </w:r>
      <w:r w:rsidR="0074657B" w:rsidRPr="00CD2F10">
        <w:rPr>
          <w:szCs w:val="20"/>
          <w:lang w:val="en-GB"/>
        </w:rPr>
        <w:t>a</w:t>
      </w:r>
      <w:r w:rsidR="000B4FCF" w:rsidRPr="00CD2F10">
        <w:rPr>
          <w:szCs w:val="20"/>
          <w:lang w:val="en-GB"/>
        </w:rPr>
        <w:t>waiting approval</w:t>
      </w:r>
      <w:r w:rsidR="00BC1926" w:rsidRPr="00CD2F10">
        <w:rPr>
          <w:szCs w:val="20"/>
          <w:lang w:val="en-GB"/>
        </w:rPr>
        <w:t>.</w:t>
      </w:r>
      <w:r w:rsidR="000B4FCF" w:rsidRPr="00CD2F10">
        <w:rPr>
          <w:szCs w:val="20"/>
          <w:lang w:val="en-GB"/>
        </w:rPr>
        <w:t xml:space="preserve"> </w:t>
      </w:r>
      <w:r w:rsidR="0016706C" w:rsidRPr="00CD2F10">
        <w:rPr>
          <w:szCs w:val="20"/>
          <w:lang w:val="en-GB"/>
        </w:rPr>
        <w:t>The final submission of the</w:t>
      </w:r>
      <w:r w:rsidR="00A154AA" w:rsidRPr="00CD2F10">
        <w:rPr>
          <w:szCs w:val="20"/>
          <w:lang w:val="en-GB"/>
        </w:rPr>
        <w:t>se</w:t>
      </w:r>
      <w:r w:rsidR="0016706C" w:rsidRPr="00CD2F10">
        <w:rPr>
          <w:szCs w:val="20"/>
          <w:lang w:val="en-GB"/>
        </w:rPr>
        <w:t xml:space="preserve"> standards on internal models, own funds, disclosure and governance etc. is scheduled for September</w:t>
      </w:r>
      <w:r w:rsidR="00A11BB2" w:rsidRPr="00CD2F10">
        <w:rPr>
          <w:szCs w:val="20"/>
          <w:lang w:val="en-GB"/>
        </w:rPr>
        <w:t xml:space="preserve"> 2012</w:t>
      </w:r>
      <w:r w:rsidR="0074657B" w:rsidRPr="00F2585E">
        <w:rPr>
          <w:szCs w:val="20"/>
          <w:lang w:val="en-GB"/>
        </w:rPr>
        <w:t xml:space="preserve">. </w:t>
      </w:r>
      <w:r w:rsidR="001E4311" w:rsidRPr="00F2585E">
        <w:rPr>
          <w:szCs w:val="20"/>
          <w:lang w:val="en-GB"/>
        </w:rPr>
        <w:t xml:space="preserve">In the </w:t>
      </w:r>
      <w:r w:rsidR="00F2585E" w:rsidRPr="00F2585E">
        <w:rPr>
          <w:szCs w:val="20"/>
          <w:lang w:val="en-GB"/>
        </w:rPr>
        <w:t>meantime</w:t>
      </w:r>
      <w:r w:rsidR="001E4311" w:rsidRPr="00F2585E">
        <w:rPr>
          <w:szCs w:val="20"/>
          <w:lang w:val="en-GB"/>
        </w:rPr>
        <w:t xml:space="preserve"> the roundtable will assess progress in the regulatory framework</w:t>
      </w:r>
      <w:r w:rsidR="00B66731">
        <w:rPr>
          <w:szCs w:val="20"/>
          <w:lang w:val="en-GB"/>
        </w:rPr>
        <w:t xml:space="preserve"> and discuss its potential impacts on the industry and the society</w:t>
      </w:r>
      <w:r w:rsidR="001E4311" w:rsidRPr="00F2585E">
        <w:rPr>
          <w:szCs w:val="20"/>
          <w:lang w:val="en-GB"/>
        </w:rPr>
        <w:t>.</w:t>
      </w:r>
    </w:p>
    <w:p w:rsidR="00FF3B6D" w:rsidRPr="00CD2F10" w:rsidRDefault="00C01DEC" w:rsidP="0074657B">
      <w:pPr>
        <w:spacing w:before="240"/>
        <w:rPr>
          <w:b/>
          <w:color w:val="4E7161"/>
          <w:szCs w:val="20"/>
          <w:lang w:val="en-GB"/>
        </w:rPr>
      </w:pPr>
      <w:r w:rsidRPr="00CD2F10">
        <w:rPr>
          <w:b/>
          <w:color w:val="4E7161"/>
          <w:szCs w:val="20"/>
          <w:lang w:val="en-GB"/>
        </w:rPr>
        <w:t>Roundtable 3: Crisis management (</w:t>
      </w:r>
      <w:r w:rsidR="00150CDA" w:rsidRPr="00CD2F10">
        <w:rPr>
          <w:b/>
          <w:color w:val="4E7161"/>
          <w:szCs w:val="20"/>
          <w:lang w:val="en-GB"/>
        </w:rPr>
        <w:t>11 July 2012</w:t>
      </w:r>
      <w:r w:rsidRPr="00CD2F10">
        <w:rPr>
          <w:b/>
          <w:color w:val="4E7161"/>
          <w:szCs w:val="20"/>
          <w:lang w:val="en-GB"/>
        </w:rPr>
        <w:t>)</w:t>
      </w:r>
    </w:p>
    <w:p w:rsidR="00FF3B6D" w:rsidRPr="00CD2F10" w:rsidRDefault="0074657B">
      <w:pPr>
        <w:spacing w:after="0"/>
        <w:rPr>
          <w:szCs w:val="20"/>
          <w:lang w:val="en-GB"/>
        </w:rPr>
      </w:pPr>
      <w:r w:rsidRPr="00CD2F10">
        <w:rPr>
          <w:szCs w:val="20"/>
          <w:lang w:val="en-GB"/>
        </w:rPr>
        <w:t>The c</w:t>
      </w:r>
      <w:r w:rsidR="00C01DEC" w:rsidRPr="00CD2F10">
        <w:rPr>
          <w:szCs w:val="20"/>
          <w:lang w:val="en-GB"/>
        </w:rPr>
        <w:t xml:space="preserve">risis management framework will form a vital part of the new regulatory framework. The crisis forced governments to take unusual steps to limit the impact of failures </w:t>
      </w:r>
      <w:r w:rsidR="00AC7B1B" w:rsidRPr="00CD2F10">
        <w:rPr>
          <w:szCs w:val="20"/>
          <w:lang w:val="en-GB"/>
        </w:rPr>
        <w:t xml:space="preserve">of large and systemically-important financial institutions, which in turn </w:t>
      </w:r>
      <w:r w:rsidR="00B75B70" w:rsidRPr="00CD2F10">
        <w:rPr>
          <w:szCs w:val="20"/>
          <w:lang w:val="en-GB"/>
        </w:rPr>
        <w:t>heightened the</w:t>
      </w:r>
      <w:r w:rsidR="00C01DEC" w:rsidRPr="00CD2F10">
        <w:rPr>
          <w:szCs w:val="20"/>
          <w:lang w:val="en-GB"/>
        </w:rPr>
        <w:t xml:space="preserve"> moral hazard </w:t>
      </w:r>
      <w:r w:rsidR="00B75B70" w:rsidRPr="00CD2F10">
        <w:rPr>
          <w:szCs w:val="20"/>
          <w:lang w:val="en-GB"/>
        </w:rPr>
        <w:t xml:space="preserve">risks </w:t>
      </w:r>
      <w:r w:rsidR="00C01DEC" w:rsidRPr="00CD2F10">
        <w:rPr>
          <w:szCs w:val="20"/>
          <w:lang w:val="en-GB"/>
        </w:rPr>
        <w:t xml:space="preserve">and </w:t>
      </w:r>
      <w:r w:rsidR="00B75B70" w:rsidRPr="00CD2F10">
        <w:rPr>
          <w:szCs w:val="20"/>
          <w:lang w:val="en-GB"/>
        </w:rPr>
        <w:t>the</w:t>
      </w:r>
      <w:r w:rsidR="00C01DEC" w:rsidRPr="00CD2F10">
        <w:rPr>
          <w:szCs w:val="20"/>
          <w:lang w:val="en-GB"/>
        </w:rPr>
        <w:t xml:space="preserve"> </w:t>
      </w:r>
      <w:r w:rsidR="00B75B70" w:rsidRPr="00CD2F10">
        <w:rPr>
          <w:szCs w:val="20"/>
          <w:lang w:val="en-GB"/>
        </w:rPr>
        <w:t>fiscal</w:t>
      </w:r>
      <w:r w:rsidR="00C01DEC" w:rsidRPr="00CD2F10">
        <w:rPr>
          <w:szCs w:val="20"/>
          <w:lang w:val="en-GB"/>
        </w:rPr>
        <w:t xml:space="preserve"> pressure</w:t>
      </w:r>
      <w:r w:rsidR="00B75B70" w:rsidRPr="00CD2F10">
        <w:rPr>
          <w:szCs w:val="20"/>
          <w:lang w:val="en-GB"/>
        </w:rPr>
        <w:t>s of several EU member states</w:t>
      </w:r>
      <w:r w:rsidR="00C01DEC" w:rsidRPr="00CD2F10">
        <w:rPr>
          <w:szCs w:val="20"/>
          <w:lang w:val="en-GB"/>
        </w:rPr>
        <w:t xml:space="preserve">. </w:t>
      </w:r>
      <w:r w:rsidR="00AC7B1B" w:rsidRPr="00CD2F10">
        <w:rPr>
          <w:szCs w:val="20"/>
          <w:lang w:val="en-GB"/>
        </w:rPr>
        <w:t xml:space="preserve">Only a credible crisis management framework can </w:t>
      </w:r>
      <w:r w:rsidR="00C01DEC" w:rsidRPr="00CD2F10">
        <w:rPr>
          <w:szCs w:val="20"/>
          <w:lang w:val="en-GB"/>
        </w:rPr>
        <w:t xml:space="preserve">prevent </w:t>
      </w:r>
      <w:r w:rsidR="00AC7B1B" w:rsidRPr="00CD2F10">
        <w:rPr>
          <w:szCs w:val="20"/>
          <w:lang w:val="en-GB"/>
        </w:rPr>
        <w:t xml:space="preserve">the </w:t>
      </w:r>
      <w:r w:rsidR="00C01DEC" w:rsidRPr="00CD2F10">
        <w:rPr>
          <w:szCs w:val="20"/>
          <w:lang w:val="en-GB"/>
        </w:rPr>
        <w:t>recurrence</w:t>
      </w:r>
      <w:r w:rsidR="00AC7B1B" w:rsidRPr="00CD2F10">
        <w:rPr>
          <w:szCs w:val="20"/>
          <w:lang w:val="en-GB"/>
        </w:rPr>
        <w:t xml:space="preserve"> of </w:t>
      </w:r>
      <w:r w:rsidR="002E36F2">
        <w:rPr>
          <w:szCs w:val="20"/>
          <w:lang w:val="en-GB"/>
        </w:rPr>
        <w:t>such</w:t>
      </w:r>
      <w:r w:rsidR="00AC7B1B" w:rsidRPr="00CD2F10">
        <w:rPr>
          <w:szCs w:val="20"/>
          <w:lang w:val="en-GB"/>
        </w:rPr>
        <w:t xml:space="preserve"> threats</w:t>
      </w:r>
      <w:r w:rsidR="00C01DEC" w:rsidRPr="00CD2F10">
        <w:rPr>
          <w:szCs w:val="20"/>
          <w:lang w:val="en-GB"/>
        </w:rPr>
        <w:t xml:space="preserve">. </w:t>
      </w:r>
      <w:r w:rsidRPr="00CD2F10">
        <w:rPr>
          <w:szCs w:val="20"/>
          <w:lang w:val="en-GB"/>
        </w:rPr>
        <w:t>Alt</w:t>
      </w:r>
      <w:r w:rsidR="00C01DEC" w:rsidRPr="00CD2F10">
        <w:rPr>
          <w:szCs w:val="20"/>
          <w:lang w:val="en-GB"/>
        </w:rPr>
        <w:t>hough the European Commission published a communication on the subject at the end of 2010</w:t>
      </w:r>
      <w:r w:rsidRPr="00CD2F10">
        <w:rPr>
          <w:szCs w:val="20"/>
          <w:lang w:val="en-GB"/>
        </w:rPr>
        <w:t>,</w:t>
      </w:r>
      <w:r w:rsidR="00C01DEC" w:rsidRPr="00CD2F10">
        <w:rPr>
          <w:szCs w:val="20"/>
          <w:lang w:val="en-GB"/>
        </w:rPr>
        <w:t xml:space="preserve"> and is expected to </w:t>
      </w:r>
      <w:r w:rsidR="002E36F2">
        <w:rPr>
          <w:szCs w:val="20"/>
          <w:lang w:val="en-GB"/>
        </w:rPr>
        <w:t>put</w:t>
      </w:r>
      <w:r w:rsidR="00C01DEC" w:rsidRPr="00CD2F10">
        <w:rPr>
          <w:szCs w:val="20"/>
          <w:lang w:val="en-GB"/>
        </w:rPr>
        <w:t xml:space="preserve"> forward a legislative proposal</w:t>
      </w:r>
      <w:r w:rsidR="00AC7B1B" w:rsidRPr="00CD2F10">
        <w:rPr>
          <w:szCs w:val="20"/>
          <w:lang w:val="en-GB"/>
        </w:rPr>
        <w:t>, the details of the new framework remain to be seen</w:t>
      </w:r>
      <w:r w:rsidR="00C01DEC" w:rsidRPr="00CD2F10">
        <w:rPr>
          <w:szCs w:val="20"/>
          <w:lang w:val="en-GB"/>
        </w:rPr>
        <w:t>. The roundtable will discuss th</w:t>
      </w:r>
      <w:r w:rsidR="00AC7B1B" w:rsidRPr="00CD2F10">
        <w:rPr>
          <w:szCs w:val="20"/>
          <w:lang w:val="en-GB"/>
        </w:rPr>
        <w:t>e upcoming</w:t>
      </w:r>
      <w:r w:rsidR="00C01DEC" w:rsidRPr="00CD2F10">
        <w:rPr>
          <w:szCs w:val="20"/>
          <w:lang w:val="en-GB"/>
        </w:rPr>
        <w:t xml:space="preserve"> proposal </w:t>
      </w:r>
      <w:r w:rsidR="00AC7B1B" w:rsidRPr="00CD2F10">
        <w:rPr>
          <w:szCs w:val="20"/>
          <w:lang w:val="en-GB"/>
        </w:rPr>
        <w:t>and its technical details</w:t>
      </w:r>
      <w:r w:rsidR="002E36F2">
        <w:rPr>
          <w:szCs w:val="20"/>
          <w:lang w:val="en-GB"/>
        </w:rPr>
        <w:t>, which</w:t>
      </w:r>
      <w:r w:rsidR="00AC7B1B" w:rsidRPr="00CD2F10">
        <w:rPr>
          <w:szCs w:val="20"/>
          <w:lang w:val="en-GB"/>
        </w:rPr>
        <w:t xml:space="preserve"> are likely to have </w:t>
      </w:r>
      <w:r w:rsidR="002E36F2">
        <w:rPr>
          <w:szCs w:val="20"/>
          <w:lang w:val="en-GB"/>
        </w:rPr>
        <w:t>considerable</w:t>
      </w:r>
      <w:r w:rsidR="00AC7B1B" w:rsidRPr="00CD2F10">
        <w:rPr>
          <w:szCs w:val="20"/>
          <w:lang w:val="en-GB"/>
        </w:rPr>
        <w:t xml:space="preserve"> importance for financial institutions in the </w:t>
      </w:r>
      <w:r w:rsidR="002E36F2">
        <w:rPr>
          <w:szCs w:val="20"/>
          <w:lang w:val="en-GB"/>
        </w:rPr>
        <w:t>future</w:t>
      </w:r>
      <w:r w:rsidR="00C01DEC" w:rsidRPr="00CD2F10">
        <w:rPr>
          <w:szCs w:val="20"/>
          <w:lang w:val="en-GB"/>
        </w:rPr>
        <w:t>.</w:t>
      </w:r>
    </w:p>
    <w:p w:rsidR="00150CDA" w:rsidRPr="00CD2F10" w:rsidRDefault="00150CDA" w:rsidP="0074657B">
      <w:pPr>
        <w:spacing w:before="240"/>
        <w:rPr>
          <w:b/>
          <w:color w:val="4E7161"/>
          <w:szCs w:val="20"/>
          <w:lang w:val="en-GB"/>
        </w:rPr>
      </w:pPr>
      <w:r w:rsidRPr="00CD2F10">
        <w:rPr>
          <w:b/>
          <w:color w:val="4E7161"/>
          <w:szCs w:val="20"/>
          <w:lang w:val="en-GB"/>
        </w:rPr>
        <w:t xml:space="preserve">Roundtable 4: Shadow </w:t>
      </w:r>
      <w:r w:rsidR="0074657B" w:rsidRPr="00CD2F10">
        <w:rPr>
          <w:b/>
          <w:color w:val="4E7161"/>
          <w:szCs w:val="20"/>
          <w:lang w:val="en-GB"/>
        </w:rPr>
        <w:t>b</w:t>
      </w:r>
      <w:r w:rsidRPr="00CD2F10">
        <w:rPr>
          <w:b/>
          <w:color w:val="4E7161"/>
          <w:szCs w:val="20"/>
          <w:lang w:val="en-GB"/>
        </w:rPr>
        <w:t>anking (19 September 2012)</w:t>
      </w:r>
    </w:p>
    <w:p w:rsidR="009E3B06" w:rsidRPr="00CD2F10" w:rsidRDefault="0074657B" w:rsidP="002C092F">
      <w:pPr>
        <w:spacing w:after="0"/>
        <w:rPr>
          <w:szCs w:val="20"/>
          <w:lang w:val="en-GB"/>
        </w:rPr>
      </w:pPr>
      <w:r w:rsidRPr="00CD2F10">
        <w:rPr>
          <w:szCs w:val="20"/>
          <w:lang w:val="en-GB"/>
        </w:rPr>
        <w:t>S</w:t>
      </w:r>
      <w:r w:rsidR="00D23744" w:rsidRPr="00CD2F10">
        <w:rPr>
          <w:szCs w:val="20"/>
          <w:lang w:val="en-GB"/>
        </w:rPr>
        <w:t xml:space="preserve">tricter </w:t>
      </w:r>
      <w:r w:rsidR="002C092F" w:rsidRPr="00CD2F10">
        <w:rPr>
          <w:szCs w:val="20"/>
          <w:lang w:val="en-GB"/>
        </w:rPr>
        <w:t>regulation of the banking sector is likely to</w:t>
      </w:r>
      <w:r w:rsidR="00D23744" w:rsidRPr="00CD2F10">
        <w:rPr>
          <w:szCs w:val="20"/>
          <w:lang w:val="en-GB"/>
        </w:rPr>
        <w:t xml:space="preserve"> move activitie</w:t>
      </w:r>
      <w:r w:rsidR="002C092F" w:rsidRPr="00CD2F10">
        <w:rPr>
          <w:szCs w:val="20"/>
          <w:lang w:val="en-GB"/>
        </w:rPr>
        <w:t xml:space="preserve">s </w:t>
      </w:r>
      <w:r w:rsidR="002E36F2">
        <w:rPr>
          <w:szCs w:val="20"/>
          <w:lang w:val="en-GB"/>
        </w:rPr>
        <w:t>more towards</w:t>
      </w:r>
      <w:r w:rsidR="002C092F" w:rsidRPr="00CD2F10">
        <w:rPr>
          <w:szCs w:val="20"/>
          <w:lang w:val="en-GB"/>
        </w:rPr>
        <w:t xml:space="preserve"> shadow banks</w:t>
      </w:r>
      <w:r w:rsidR="00D73AA4" w:rsidRPr="00CD2F10">
        <w:rPr>
          <w:szCs w:val="20"/>
          <w:lang w:val="en-GB"/>
        </w:rPr>
        <w:t>.</w:t>
      </w:r>
      <w:r w:rsidR="009E3B06" w:rsidRPr="00CD2F10">
        <w:rPr>
          <w:szCs w:val="20"/>
          <w:lang w:val="en-GB"/>
        </w:rPr>
        <w:t xml:space="preserve"> </w:t>
      </w:r>
      <w:r w:rsidR="002E36F2">
        <w:rPr>
          <w:szCs w:val="20"/>
          <w:lang w:val="en-GB"/>
        </w:rPr>
        <w:t>As</w:t>
      </w:r>
      <w:r w:rsidR="0010399A" w:rsidRPr="00CD2F10">
        <w:rPr>
          <w:szCs w:val="20"/>
          <w:lang w:val="en-GB"/>
        </w:rPr>
        <w:t xml:space="preserve"> these</w:t>
      </w:r>
      <w:r w:rsidR="005B57A1" w:rsidRPr="00CD2F10">
        <w:rPr>
          <w:szCs w:val="20"/>
          <w:lang w:val="en-GB"/>
        </w:rPr>
        <w:t xml:space="preserve"> non</w:t>
      </w:r>
      <w:r w:rsidR="002E36F2">
        <w:rPr>
          <w:szCs w:val="20"/>
          <w:lang w:val="en-GB"/>
        </w:rPr>
        <w:t>-</w:t>
      </w:r>
      <w:r w:rsidR="005B57A1" w:rsidRPr="00CD2F10">
        <w:rPr>
          <w:szCs w:val="20"/>
          <w:lang w:val="en-GB"/>
        </w:rPr>
        <w:t>deposit</w:t>
      </w:r>
      <w:r w:rsidR="002E36F2">
        <w:rPr>
          <w:szCs w:val="20"/>
          <w:lang w:val="en-GB"/>
        </w:rPr>
        <w:t>-</w:t>
      </w:r>
      <w:r w:rsidR="005B57A1" w:rsidRPr="00CD2F10">
        <w:rPr>
          <w:szCs w:val="20"/>
          <w:lang w:val="en-GB"/>
        </w:rPr>
        <w:t>taking financial</w:t>
      </w:r>
      <w:r w:rsidR="0010399A" w:rsidRPr="00CD2F10">
        <w:rPr>
          <w:szCs w:val="20"/>
          <w:lang w:val="en-GB"/>
        </w:rPr>
        <w:t xml:space="preserve"> </w:t>
      </w:r>
      <w:r w:rsidR="002C092F" w:rsidRPr="00CD2F10">
        <w:rPr>
          <w:szCs w:val="20"/>
          <w:lang w:val="en-GB"/>
        </w:rPr>
        <w:t>institutions</w:t>
      </w:r>
      <w:r w:rsidR="009E3B06" w:rsidRPr="00CD2F10">
        <w:rPr>
          <w:szCs w:val="20"/>
          <w:lang w:val="en-GB"/>
        </w:rPr>
        <w:t xml:space="preserve"> </w:t>
      </w:r>
      <w:r w:rsidR="002E36F2">
        <w:rPr>
          <w:szCs w:val="20"/>
          <w:lang w:val="en-GB"/>
        </w:rPr>
        <w:t>grow in</w:t>
      </w:r>
      <w:r w:rsidR="005D472B" w:rsidRPr="00CD2F10">
        <w:rPr>
          <w:szCs w:val="20"/>
          <w:lang w:val="en-GB"/>
        </w:rPr>
        <w:t xml:space="preserve"> </w:t>
      </w:r>
      <w:r w:rsidR="005B57A1" w:rsidRPr="00CD2F10">
        <w:rPr>
          <w:szCs w:val="20"/>
          <w:lang w:val="en-GB"/>
        </w:rPr>
        <w:t>importan</w:t>
      </w:r>
      <w:r w:rsidR="002E36F2">
        <w:rPr>
          <w:szCs w:val="20"/>
          <w:lang w:val="en-GB"/>
        </w:rPr>
        <w:t>ce</w:t>
      </w:r>
      <w:r w:rsidR="005D472B" w:rsidRPr="00CD2F10">
        <w:rPr>
          <w:szCs w:val="20"/>
          <w:lang w:val="en-GB"/>
        </w:rPr>
        <w:t xml:space="preserve">, </w:t>
      </w:r>
      <w:r w:rsidR="002E36F2">
        <w:rPr>
          <w:szCs w:val="20"/>
          <w:lang w:val="en-GB"/>
        </w:rPr>
        <w:t xml:space="preserve">there may be wider </w:t>
      </w:r>
      <w:r w:rsidR="001E3BE8">
        <w:rPr>
          <w:szCs w:val="20"/>
          <w:lang w:val="en-GB"/>
        </w:rPr>
        <w:t>implications for</w:t>
      </w:r>
      <w:r w:rsidR="00D73AA4" w:rsidRPr="00CD2F10">
        <w:rPr>
          <w:szCs w:val="20"/>
          <w:lang w:val="en-GB"/>
        </w:rPr>
        <w:t xml:space="preserve"> </w:t>
      </w:r>
      <w:r w:rsidR="009E3B06" w:rsidRPr="00CD2F10">
        <w:rPr>
          <w:szCs w:val="20"/>
          <w:lang w:val="en-GB"/>
        </w:rPr>
        <w:t>financial stability</w:t>
      </w:r>
      <w:r w:rsidR="002C092F" w:rsidRPr="00CD2F10">
        <w:rPr>
          <w:szCs w:val="20"/>
          <w:lang w:val="en-GB"/>
        </w:rPr>
        <w:t>.</w:t>
      </w:r>
      <w:r w:rsidR="009E3B06" w:rsidRPr="00CD2F10">
        <w:rPr>
          <w:szCs w:val="20"/>
          <w:lang w:val="en-GB"/>
        </w:rPr>
        <w:t xml:space="preserve"> </w:t>
      </w:r>
      <w:r w:rsidR="005D472B" w:rsidRPr="00CD2F10">
        <w:rPr>
          <w:szCs w:val="20"/>
          <w:lang w:val="en-GB"/>
        </w:rPr>
        <w:t>T</w:t>
      </w:r>
      <w:r w:rsidR="009E3B06" w:rsidRPr="00CD2F10">
        <w:rPr>
          <w:szCs w:val="20"/>
          <w:lang w:val="en-GB"/>
        </w:rPr>
        <w:t>he European Commission</w:t>
      </w:r>
      <w:r w:rsidR="002F3D62" w:rsidRPr="00CD2F10">
        <w:rPr>
          <w:szCs w:val="20"/>
          <w:lang w:val="en-GB"/>
        </w:rPr>
        <w:t xml:space="preserve"> is</w:t>
      </w:r>
      <w:r w:rsidR="000F4172" w:rsidRPr="00CD2F10">
        <w:rPr>
          <w:szCs w:val="20"/>
          <w:lang w:val="en-GB"/>
        </w:rPr>
        <w:t>, therefore,</w:t>
      </w:r>
      <w:r w:rsidR="002F3D62" w:rsidRPr="00CD2F10">
        <w:rPr>
          <w:szCs w:val="20"/>
          <w:lang w:val="en-GB"/>
        </w:rPr>
        <w:t xml:space="preserve"> </w:t>
      </w:r>
      <w:r w:rsidR="000C6B67" w:rsidRPr="00CD2F10">
        <w:rPr>
          <w:szCs w:val="20"/>
          <w:lang w:val="en-GB"/>
        </w:rPr>
        <w:t xml:space="preserve">looking </w:t>
      </w:r>
      <w:r w:rsidRPr="00CD2F10">
        <w:rPr>
          <w:szCs w:val="20"/>
          <w:lang w:val="en-GB"/>
        </w:rPr>
        <w:t xml:space="preserve">at </w:t>
      </w:r>
      <w:r w:rsidR="000F4172" w:rsidRPr="00CD2F10">
        <w:rPr>
          <w:szCs w:val="20"/>
          <w:lang w:val="en-GB"/>
        </w:rPr>
        <w:t>whether these</w:t>
      </w:r>
      <w:r w:rsidR="000C6B67" w:rsidRPr="00CD2F10">
        <w:rPr>
          <w:szCs w:val="20"/>
          <w:lang w:val="en-GB"/>
        </w:rPr>
        <w:t xml:space="preserve"> institutions</w:t>
      </w:r>
      <w:r w:rsidR="000F4172" w:rsidRPr="00CD2F10">
        <w:rPr>
          <w:szCs w:val="20"/>
          <w:lang w:val="en-GB"/>
        </w:rPr>
        <w:t xml:space="preserve"> should be regulated and supervised more stringently. The communication </w:t>
      </w:r>
      <w:r w:rsidR="002F3D62" w:rsidRPr="00CD2F10">
        <w:rPr>
          <w:szCs w:val="20"/>
          <w:lang w:val="en-GB"/>
        </w:rPr>
        <w:t xml:space="preserve">on the subject, expressing </w:t>
      </w:r>
      <w:r w:rsidR="000F4172" w:rsidRPr="00CD2F10">
        <w:rPr>
          <w:szCs w:val="20"/>
          <w:lang w:val="en-GB"/>
        </w:rPr>
        <w:t>the Commission’s in</w:t>
      </w:r>
      <w:r w:rsidR="002F3D62" w:rsidRPr="00CD2F10">
        <w:rPr>
          <w:szCs w:val="20"/>
          <w:lang w:val="en-GB"/>
        </w:rPr>
        <w:t>itial views on shadow banking, is</w:t>
      </w:r>
      <w:r w:rsidR="000F4172" w:rsidRPr="00CD2F10">
        <w:rPr>
          <w:szCs w:val="20"/>
          <w:lang w:val="en-GB"/>
        </w:rPr>
        <w:t xml:space="preserve"> announced for </w:t>
      </w:r>
      <w:r w:rsidR="009E3B06" w:rsidRPr="00CD2F10">
        <w:rPr>
          <w:szCs w:val="20"/>
          <w:lang w:val="en-GB"/>
        </w:rPr>
        <w:t>March 2012.</w:t>
      </w:r>
      <w:r w:rsidR="00D86472">
        <w:rPr>
          <w:szCs w:val="20"/>
          <w:lang w:val="en-GB"/>
        </w:rPr>
        <w:t xml:space="preserve"> </w:t>
      </w:r>
    </w:p>
    <w:p w:rsidR="008110F2" w:rsidRPr="00CD2F10" w:rsidRDefault="008110F2" w:rsidP="002C092F">
      <w:pPr>
        <w:spacing w:after="0"/>
        <w:rPr>
          <w:szCs w:val="20"/>
          <w:lang w:val="en-GB"/>
        </w:rPr>
      </w:pPr>
    </w:p>
    <w:p w:rsidR="008110F2" w:rsidRPr="00CD2F10" w:rsidRDefault="002E36F2">
      <w:pPr>
        <w:spacing w:after="0"/>
        <w:jc w:val="left"/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Further</w:t>
      </w:r>
      <w:r w:rsidR="004E2A44" w:rsidRPr="00CD2F10">
        <w:rPr>
          <w:sz w:val="20"/>
          <w:szCs w:val="20"/>
          <w:lang w:val="en-GB"/>
        </w:rPr>
        <w:t xml:space="preserve"> </w:t>
      </w:r>
      <w:r w:rsidR="00B042DF" w:rsidRPr="00CD2F10">
        <w:rPr>
          <w:sz w:val="20"/>
          <w:szCs w:val="20"/>
          <w:lang w:val="en-GB"/>
        </w:rPr>
        <w:t>details</w:t>
      </w:r>
      <w:r w:rsidR="00C01DEC" w:rsidRPr="00CD2F10">
        <w:rPr>
          <w:sz w:val="20"/>
          <w:szCs w:val="20"/>
          <w:lang w:val="en-GB"/>
        </w:rPr>
        <w:t xml:space="preserve"> o</w:t>
      </w:r>
      <w:r>
        <w:rPr>
          <w:sz w:val="20"/>
          <w:szCs w:val="20"/>
          <w:lang w:val="en-GB"/>
        </w:rPr>
        <w:t>n</w:t>
      </w:r>
      <w:r w:rsidR="00C01DEC" w:rsidRPr="00CD2F10">
        <w:rPr>
          <w:sz w:val="20"/>
          <w:szCs w:val="20"/>
          <w:lang w:val="en-GB"/>
        </w:rPr>
        <w:t xml:space="preserve"> </w:t>
      </w:r>
      <w:r w:rsidR="007B1476" w:rsidRPr="00CD2F10">
        <w:rPr>
          <w:sz w:val="20"/>
          <w:szCs w:val="20"/>
          <w:lang w:val="en-GB"/>
        </w:rPr>
        <w:t>the</w:t>
      </w:r>
      <w:r>
        <w:rPr>
          <w:sz w:val="20"/>
          <w:szCs w:val="20"/>
          <w:lang w:val="en-GB"/>
        </w:rPr>
        <w:t>se</w:t>
      </w:r>
      <w:r w:rsidR="007B1476" w:rsidRPr="00CD2F10">
        <w:rPr>
          <w:sz w:val="20"/>
          <w:szCs w:val="20"/>
          <w:lang w:val="en-GB"/>
        </w:rPr>
        <w:t xml:space="preserve"> roundtables </w:t>
      </w:r>
      <w:r w:rsidR="00C01DEC" w:rsidRPr="00CD2F10">
        <w:rPr>
          <w:sz w:val="20"/>
          <w:szCs w:val="20"/>
          <w:lang w:val="en-GB"/>
        </w:rPr>
        <w:t xml:space="preserve">will be announced </w:t>
      </w:r>
      <w:r w:rsidR="00B042DF" w:rsidRPr="00CD2F10">
        <w:rPr>
          <w:sz w:val="20"/>
          <w:szCs w:val="20"/>
          <w:lang w:val="en-GB"/>
        </w:rPr>
        <w:t>at a later date</w:t>
      </w:r>
      <w:r w:rsidR="00C01DEC" w:rsidRPr="00CD2F10">
        <w:rPr>
          <w:sz w:val="20"/>
          <w:szCs w:val="20"/>
          <w:lang w:val="en-GB"/>
        </w:rPr>
        <w:t>.</w:t>
      </w:r>
      <w:r w:rsidR="008110F2" w:rsidRPr="00CD2F10">
        <w:rPr>
          <w:sz w:val="20"/>
          <w:szCs w:val="20"/>
          <w:lang w:val="en-GB"/>
        </w:rPr>
        <w:br/>
      </w:r>
      <w:r w:rsidR="00C01DEC" w:rsidRPr="00CD2F10">
        <w:rPr>
          <w:sz w:val="20"/>
          <w:szCs w:val="20"/>
          <w:lang w:val="en-GB"/>
        </w:rPr>
        <w:t xml:space="preserve">Please contact </w:t>
      </w:r>
      <w:hyperlink r:id="rId7" w:history="1">
        <w:r w:rsidR="00C01DEC" w:rsidRPr="00CD2F10">
          <w:rPr>
            <w:rStyle w:val="Hyperlink"/>
            <w:sz w:val="20"/>
            <w:szCs w:val="20"/>
            <w:lang w:val="en-GB"/>
          </w:rPr>
          <w:t>willem.pieter.degroen@ceps.eu</w:t>
        </w:r>
      </w:hyperlink>
      <w:r w:rsidR="00C01DEC" w:rsidRPr="00CD2F10">
        <w:rPr>
          <w:sz w:val="20"/>
          <w:szCs w:val="20"/>
          <w:lang w:val="en-GB"/>
        </w:rPr>
        <w:t xml:space="preserve"> for more information and </w:t>
      </w:r>
      <w:r>
        <w:rPr>
          <w:sz w:val="20"/>
          <w:szCs w:val="20"/>
          <w:lang w:val="en-GB"/>
        </w:rPr>
        <w:t>registration</w:t>
      </w:r>
      <w:r w:rsidR="00C01DEC" w:rsidRPr="00CD2F10">
        <w:rPr>
          <w:sz w:val="20"/>
          <w:szCs w:val="20"/>
          <w:lang w:val="en-GB"/>
        </w:rPr>
        <w:t>.</w:t>
      </w:r>
      <w:r w:rsidR="008110F2" w:rsidRPr="00CD2F10">
        <w:rPr>
          <w:sz w:val="20"/>
          <w:szCs w:val="20"/>
          <w:lang w:val="en-GB"/>
        </w:rPr>
        <w:br w:type="page"/>
      </w:r>
    </w:p>
    <w:p w:rsidR="00FF3B6D" w:rsidRPr="00CD2F10" w:rsidRDefault="00FF3B6D" w:rsidP="008110F2">
      <w:pPr>
        <w:spacing w:after="0"/>
        <w:jc w:val="left"/>
        <w:rPr>
          <w:b/>
          <w:szCs w:val="20"/>
          <w:lang w:val="en-GB"/>
        </w:rPr>
      </w:pPr>
    </w:p>
    <w:tbl>
      <w:tblPr>
        <w:tblStyle w:val="TableGrid"/>
        <w:tblW w:w="4729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101" w:type="dxa"/>
          <w:left w:w="72" w:type="dxa"/>
          <w:bottom w:w="101" w:type="dxa"/>
          <w:right w:w="72" w:type="dxa"/>
        </w:tblCellMar>
        <w:tblLook w:val="04A0"/>
      </w:tblPr>
      <w:tblGrid>
        <w:gridCol w:w="1625"/>
        <w:gridCol w:w="33"/>
        <w:gridCol w:w="938"/>
        <w:gridCol w:w="1440"/>
        <w:gridCol w:w="41"/>
        <w:gridCol w:w="1664"/>
        <w:gridCol w:w="1083"/>
        <w:gridCol w:w="453"/>
        <w:gridCol w:w="1976"/>
      </w:tblGrid>
      <w:tr w:rsidR="00624756" w:rsidRPr="00CD2F10" w:rsidTr="00F23733">
        <w:trPr>
          <w:trHeight w:val="20"/>
        </w:trPr>
        <w:tc>
          <w:tcPr>
            <w:tcW w:w="5000" w:type="pct"/>
            <w:gridSpan w:val="9"/>
            <w:shd w:val="clear" w:color="auto" w:fill="auto"/>
            <w:vAlign w:val="center"/>
          </w:tcPr>
          <w:p w:rsidR="00624756" w:rsidRPr="00CD2F10" w:rsidRDefault="00624756" w:rsidP="00A45B97">
            <w:pPr>
              <w:keepNext/>
              <w:spacing w:after="0"/>
              <w:jc w:val="center"/>
              <w:rPr>
                <w:rFonts w:cs="Georgia"/>
                <w:b/>
                <w:color w:val="4E7161"/>
                <w:sz w:val="22"/>
                <w:lang w:val="en-GB"/>
              </w:rPr>
            </w:pPr>
            <w:r w:rsidRPr="00CD2F10">
              <w:rPr>
                <w:rFonts w:cs="Georgia"/>
                <w:b/>
                <w:color w:val="4E7161"/>
                <w:sz w:val="22"/>
                <w:lang w:val="en-GB"/>
              </w:rPr>
              <w:t>REGISTRATION FORM</w:t>
            </w:r>
          </w:p>
          <w:p w:rsidR="00624756" w:rsidRPr="00CD2F10" w:rsidRDefault="00624756" w:rsidP="00A45B97">
            <w:pPr>
              <w:spacing w:after="0"/>
              <w:jc w:val="center"/>
              <w:rPr>
                <w:rFonts w:cs="Georgia"/>
                <w:b/>
                <w:color w:val="4E7161"/>
                <w:sz w:val="22"/>
                <w:lang w:val="en-GB"/>
              </w:rPr>
            </w:pPr>
            <w:r w:rsidRPr="00CD2F10">
              <w:rPr>
                <w:rFonts w:cs="Georgia"/>
                <w:b/>
                <w:color w:val="4E7161"/>
                <w:sz w:val="22"/>
                <w:lang w:val="en-GB"/>
              </w:rPr>
              <w:t>CEPS Finance Roundtables 2012</w:t>
            </w:r>
          </w:p>
          <w:p w:rsidR="00624756" w:rsidRPr="00CD2F10" w:rsidRDefault="00624756" w:rsidP="00624756">
            <w:pPr>
              <w:spacing w:after="0"/>
              <w:jc w:val="right"/>
              <w:rPr>
                <w:rFonts w:cs="Tahoma"/>
                <w:b/>
                <w:sz w:val="18"/>
                <w:szCs w:val="18"/>
                <w:lang w:val="en-GB"/>
              </w:rPr>
            </w:pPr>
            <w:r w:rsidRPr="00CD2F10">
              <w:rPr>
                <w:rFonts w:cs="Tahoma"/>
                <w:b/>
                <w:sz w:val="18"/>
                <w:szCs w:val="18"/>
                <w:lang w:val="en-GB"/>
              </w:rPr>
              <w:t xml:space="preserve"> </w:t>
            </w:r>
          </w:p>
        </w:tc>
      </w:tr>
      <w:tr w:rsidR="006B07D4" w:rsidRPr="00CD2F10" w:rsidTr="00F23733">
        <w:trPr>
          <w:trHeight w:val="120"/>
        </w:trPr>
        <w:tc>
          <w:tcPr>
            <w:tcW w:w="5000" w:type="pct"/>
            <w:gridSpan w:val="9"/>
            <w:shd w:val="solid" w:color="B4CCC1" w:fill="auto"/>
          </w:tcPr>
          <w:p w:rsidR="00FF3B6D" w:rsidRPr="00CD2F10" w:rsidRDefault="00C01DEC" w:rsidP="00743236">
            <w:pPr>
              <w:spacing w:after="0"/>
              <w:rPr>
                <w:rFonts w:cs="Tahoma"/>
                <w:b/>
                <w:color w:val="FFFFFF" w:themeColor="background1"/>
                <w:sz w:val="18"/>
                <w:szCs w:val="18"/>
                <w:lang w:val="en-GB"/>
              </w:rPr>
            </w:pPr>
            <w:r w:rsidRPr="00CD2F10">
              <w:rPr>
                <w:rFonts w:cs="Tahoma"/>
                <w:b/>
                <w:sz w:val="18"/>
                <w:szCs w:val="18"/>
                <w:lang w:val="en-GB"/>
              </w:rPr>
              <w:t xml:space="preserve">Person attending </w:t>
            </w:r>
            <w:r w:rsidR="00743236">
              <w:rPr>
                <w:rFonts w:cs="Tahoma"/>
                <w:b/>
                <w:sz w:val="18"/>
                <w:szCs w:val="18"/>
                <w:lang w:val="en-GB"/>
              </w:rPr>
              <w:t xml:space="preserve">Roundtable 1: </w:t>
            </w:r>
            <w:r w:rsidR="00743236" w:rsidRPr="00743236">
              <w:rPr>
                <w:rFonts w:cs="Tahoma"/>
                <w:b/>
                <w:sz w:val="18"/>
                <w:szCs w:val="18"/>
                <w:lang w:val="en-GB"/>
              </w:rPr>
              <w:t>Implementation of Basel III in the EU (CRR/CRD IV)</w:t>
            </w:r>
          </w:p>
        </w:tc>
      </w:tr>
      <w:tr w:rsidR="006F7D63" w:rsidRPr="00CD2F10" w:rsidTr="00F23733">
        <w:trPr>
          <w:trHeight w:val="221"/>
        </w:trPr>
        <w:tc>
          <w:tcPr>
            <w:tcW w:w="878" w:type="pct"/>
            <w:tcBorders>
              <w:bottom w:val="single" w:sz="4" w:space="0" w:color="1F497D" w:themeColor="text2"/>
            </w:tcBorders>
          </w:tcPr>
          <w:p w:rsidR="00FF3B6D" w:rsidRPr="00CD2F10" w:rsidRDefault="00624756">
            <w:pPr>
              <w:spacing w:after="0"/>
              <w:rPr>
                <w:rFonts w:cs="Tahoma"/>
                <w:sz w:val="18"/>
                <w:szCs w:val="18"/>
                <w:lang w:val="en-GB"/>
              </w:rPr>
            </w:pPr>
            <w:r w:rsidRPr="00CD2F10">
              <w:rPr>
                <w:rFonts w:cs="Tahoma"/>
                <w:sz w:val="18"/>
                <w:szCs w:val="18"/>
                <w:lang w:val="en-GB"/>
              </w:rPr>
              <w:t>Title</w:t>
            </w:r>
            <w:r w:rsidR="00C01DEC" w:rsidRPr="00CD2F10">
              <w:rPr>
                <w:rFonts w:cs="Tahoma"/>
                <w:sz w:val="18"/>
                <w:szCs w:val="18"/>
                <w:lang w:val="en-GB"/>
              </w:rPr>
              <w:t>:</w:t>
            </w:r>
          </w:p>
        </w:tc>
        <w:tc>
          <w:tcPr>
            <w:tcW w:w="1303" w:type="pct"/>
            <w:gridSpan w:val="3"/>
            <w:tcBorders>
              <w:bottom w:val="single" w:sz="4" w:space="0" w:color="1F497D" w:themeColor="text2"/>
            </w:tcBorders>
          </w:tcPr>
          <w:p w:rsidR="00FF3B6D" w:rsidRPr="00CD2F10" w:rsidRDefault="00C01DEC">
            <w:pPr>
              <w:spacing w:after="0"/>
              <w:rPr>
                <w:rFonts w:cs="Tahoma"/>
                <w:sz w:val="18"/>
                <w:szCs w:val="18"/>
                <w:lang w:val="en-GB"/>
              </w:rPr>
            </w:pPr>
            <w:r w:rsidRPr="00CD2F10">
              <w:rPr>
                <w:rFonts w:cs="Tahoma"/>
                <w:sz w:val="18"/>
                <w:szCs w:val="18"/>
                <w:lang w:val="en-GB"/>
              </w:rPr>
              <w:t>First name:</w:t>
            </w:r>
          </w:p>
        </w:tc>
        <w:tc>
          <w:tcPr>
            <w:tcW w:w="2820" w:type="pct"/>
            <w:gridSpan w:val="5"/>
            <w:tcBorders>
              <w:bottom w:val="single" w:sz="4" w:space="0" w:color="1F497D" w:themeColor="text2"/>
            </w:tcBorders>
          </w:tcPr>
          <w:p w:rsidR="00FF3B6D" w:rsidRPr="00CD2F10" w:rsidRDefault="00C01DEC">
            <w:pPr>
              <w:spacing w:after="0"/>
              <w:rPr>
                <w:rFonts w:cs="Tahoma"/>
                <w:sz w:val="18"/>
                <w:szCs w:val="18"/>
                <w:lang w:val="en-GB"/>
              </w:rPr>
            </w:pPr>
            <w:r w:rsidRPr="00CD2F10">
              <w:rPr>
                <w:rFonts w:cs="Tahoma"/>
                <w:sz w:val="18"/>
                <w:szCs w:val="18"/>
                <w:lang w:val="en-GB"/>
              </w:rPr>
              <w:t>Last name:</w:t>
            </w:r>
          </w:p>
        </w:tc>
      </w:tr>
      <w:tr w:rsidR="006B07D4" w:rsidRPr="00CD2F10" w:rsidTr="00F23733">
        <w:trPr>
          <w:trHeight w:val="221"/>
        </w:trPr>
        <w:tc>
          <w:tcPr>
            <w:tcW w:w="5000" w:type="pct"/>
            <w:gridSpan w:val="9"/>
            <w:tcBorders>
              <w:top w:val="single" w:sz="4" w:space="0" w:color="1F497D" w:themeColor="text2"/>
              <w:bottom w:val="single" w:sz="4" w:space="0" w:color="1F497D" w:themeColor="text2"/>
            </w:tcBorders>
          </w:tcPr>
          <w:p w:rsidR="00FF3B6D" w:rsidRPr="00CD2F10" w:rsidRDefault="00C01DEC">
            <w:pPr>
              <w:spacing w:after="0"/>
              <w:rPr>
                <w:rFonts w:cs="Tahoma"/>
                <w:sz w:val="18"/>
                <w:szCs w:val="18"/>
                <w:lang w:val="en-GB"/>
              </w:rPr>
            </w:pPr>
            <w:r w:rsidRPr="00CD2F10">
              <w:rPr>
                <w:rFonts w:cs="Tahoma"/>
                <w:sz w:val="18"/>
                <w:szCs w:val="18"/>
                <w:lang w:val="en-GB"/>
              </w:rPr>
              <w:t>Job title:</w:t>
            </w:r>
          </w:p>
        </w:tc>
      </w:tr>
      <w:tr w:rsidR="006F7D63" w:rsidRPr="00CD2F10" w:rsidTr="00F23733">
        <w:trPr>
          <w:trHeight w:val="221"/>
        </w:trPr>
        <w:tc>
          <w:tcPr>
            <w:tcW w:w="2180" w:type="pct"/>
            <w:gridSpan w:val="4"/>
            <w:tcBorders>
              <w:top w:val="single" w:sz="4" w:space="0" w:color="1F497D" w:themeColor="text2"/>
            </w:tcBorders>
          </w:tcPr>
          <w:p w:rsidR="00FF3B6D" w:rsidRPr="00CD2F10" w:rsidRDefault="00C01DEC">
            <w:pPr>
              <w:spacing w:after="0"/>
              <w:rPr>
                <w:rFonts w:cs="Tahoma"/>
                <w:sz w:val="18"/>
                <w:szCs w:val="18"/>
                <w:lang w:val="en-GB"/>
              </w:rPr>
            </w:pPr>
            <w:r w:rsidRPr="00CD2F10">
              <w:rPr>
                <w:rFonts w:cs="Tahoma"/>
                <w:sz w:val="18"/>
                <w:szCs w:val="18"/>
                <w:lang w:val="en-GB"/>
              </w:rPr>
              <w:t>E-mail:</w:t>
            </w:r>
          </w:p>
        </w:tc>
        <w:tc>
          <w:tcPr>
            <w:tcW w:w="2820" w:type="pct"/>
            <w:gridSpan w:val="5"/>
            <w:tcBorders>
              <w:top w:val="single" w:sz="4" w:space="0" w:color="1F497D" w:themeColor="text2"/>
            </w:tcBorders>
          </w:tcPr>
          <w:p w:rsidR="00FF3B6D" w:rsidRPr="00CD2F10" w:rsidRDefault="00C01DEC" w:rsidP="00F23733">
            <w:pPr>
              <w:spacing w:after="0"/>
              <w:ind w:left="14" w:hanging="14"/>
              <w:rPr>
                <w:rFonts w:cs="Tahoma"/>
                <w:sz w:val="18"/>
                <w:szCs w:val="18"/>
                <w:lang w:val="en-GB"/>
              </w:rPr>
            </w:pPr>
            <w:r w:rsidRPr="00CD2F10">
              <w:rPr>
                <w:rFonts w:cs="Tahoma"/>
                <w:sz w:val="18"/>
                <w:szCs w:val="18"/>
                <w:lang w:val="en-GB"/>
              </w:rPr>
              <w:t>Telephone:</w:t>
            </w:r>
            <w:r w:rsidR="00743236">
              <w:rPr>
                <w:rFonts w:cs="Tahoma"/>
                <w:sz w:val="18"/>
                <w:szCs w:val="18"/>
                <w:lang w:val="en-GB"/>
              </w:rPr>
              <w:t xml:space="preserve">  </w:t>
            </w:r>
            <w:r w:rsidR="00743236">
              <w:rPr>
                <w:rFonts w:cs="Tahoma"/>
                <w:sz w:val="18"/>
                <w:szCs w:val="18"/>
                <w:lang w:val="en-GB"/>
              </w:rPr>
              <w:tab/>
            </w:r>
          </w:p>
        </w:tc>
      </w:tr>
      <w:tr w:rsidR="006B07D4" w:rsidRPr="00CD2F10" w:rsidTr="00F23733">
        <w:trPr>
          <w:trHeight w:val="221"/>
        </w:trPr>
        <w:tc>
          <w:tcPr>
            <w:tcW w:w="5000" w:type="pct"/>
            <w:gridSpan w:val="9"/>
            <w:shd w:val="clear" w:color="auto" w:fill="B4CCC1"/>
          </w:tcPr>
          <w:p w:rsidR="00FF3B6D" w:rsidRPr="00CD2F10" w:rsidRDefault="00C01DEC">
            <w:pPr>
              <w:spacing w:after="0"/>
              <w:rPr>
                <w:rFonts w:cs="Tahoma"/>
                <w:b/>
                <w:sz w:val="18"/>
                <w:szCs w:val="18"/>
                <w:lang w:val="en-GB"/>
              </w:rPr>
            </w:pPr>
            <w:r w:rsidRPr="00CD2F10">
              <w:rPr>
                <w:rFonts w:cs="Tahoma"/>
                <w:b/>
                <w:sz w:val="18"/>
                <w:szCs w:val="18"/>
                <w:lang w:val="en-GB"/>
              </w:rPr>
              <w:t>Company</w:t>
            </w:r>
          </w:p>
        </w:tc>
      </w:tr>
      <w:tr w:rsidR="006B07D4" w:rsidRPr="00CD2F10" w:rsidTr="00F23733">
        <w:trPr>
          <w:trHeight w:val="221"/>
        </w:trPr>
        <w:tc>
          <w:tcPr>
            <w:tcW w:w="5000" w:type="pct"/>
            <w:gridSpan w:val="9"/>
            <w:tcBorders>
              <w:bottom w:val="single" w:sz="4" w:space="0" w:color="1F497D" w:themeColor="text2"/>
            </w:tcBorders>
          </w:tcPr>
          <w:p w:rsidR="00FF3B6D" w:rsidRPr="00CD2F10" w:rsidRDefault="00C01DEC">
            <w:pPr>
              <w:spacing w:after="0"/>
              <w:rPr>
                <w:rFonts w:cs="Tahoma"/>
                <w:sz w:val="18"/>
                <w:szCs w:val="18"/>
                <w:lang w:val="en-GB"/>
              </w:rPr>
            </w:pPr>
            <w:r w:rsidRPr="00CD2F10">
              <w:rPr>
                <w:rFonts w:cs="Tahoma"/>
                <w:sz w:val="18"/>
                <w:szCs w:val="18"/>
                <w:lang w:val="en-GB"/>
              </w:rPr>
              <w:t>Company name:</w:t>
            </w:r>
          </w:p>
        </w:tc>
      </w:tr>
      <w:tr w:rsidR="006F7D63" w:rsidRPr="00CD2F10" w:rsidTr="00F23733">
        <w:trPr>
          <w:trHeight w:val="221"/>
        </w:trPr>
        <w:tc>
          <w:tcPr>
            <w:tcW w:w="2203" w:type="pct"/>
            <w:gridSpan w:val="5"/>
            <w:tcBorders>
              <w:top w:val="single" w:sz="4" w:space="0" w:color="1F497D" w:themeColor="text2"/>
              <w:bottom w:val="single" w:sz="4" w:space="0" w:color="1F497D" w:themeColor="text2"/>
            </w:tcBorders>
          </w:tcPr>
          <w:p w:rsidR="00FF3B6D" w:rsidRPr="00CD2F10" w:rsidRDefault="00C01DEC">
            <w:pPr>
              <w:spacing w:after="0"/>
              <w:rPr>
                <w:rFonts w:cs="Tahoma"/>
                <w:sz w:val="18"/>
                <w:szCs w:val="18"/>
                <w:lang w:val="en-GB"/>
              </w:rPr>
            </w:pPr>
            <w:r w:rsidRPr="00CD2F10">
              <w:rPr>
                <w:rFonts w:cs="Tahoma"/>
                <w:sz w:val="18"/>
                <w:szCs w:val="18"/>
                <w:lang w:val="en-GB"/>
              </w:rPr>
              <w:t>Postal address:</w:t>
            </w:r>
          </w:p>
        </w:tc>
        <w:tc>
          <w:tcPr>
            <w:tcW w:w="2797" w:type="pct"/>
            <w:gridSpan w:val="4"/>
            <w:tcBorders>
              <w:top w:val="single" w:sz="4" w:space="0" w:color="1F497D" w:themeColor="text2"/>
              <w:bottom w:val="single" w:sz="4" w:space="0" w:color="1F497D" w:themeColor="text2"/>
            </w:tcBorders>
          </w:tcPr>
          <w:p w:rsidR="00FF3B6D" w:rsidRPr="00CD2F10" w:rsidRDefault="00FF3B6D">
            <w:pPr>
              <w:spacing w:after="0"/>
              <w:rPr>
                <w:rFonts w:cs="Tahoma"/>
                <w:sz w:val="18"/>
                <w:szCs w:val="18"/>
                <w:lang w:val="en-GB"/>
              </w:rPr>
            </w:pPr>
          </w:p>
        </w:tc>
      </w:tr>
      <w:tr w:rsidR="006F7D63" w:rsidRPr="00CD2F10" w:rsidTr="00F23733">
        <w:trPr>
          <w:trHeight w:val="221"/>
        </w:trPr>
        <w:tc>
          <w:tcPr>
            <w:tcW w:w="896" w:type="pct"/>
            <w:gridSpan w:val="2"/>
            <w:tcBorders>
              <w:top w:val="single" w:sz="4" w:space="0" w:color="1F497D" w:themeColor="text2"/>
            </w:tcBorders>
          </w:tcPr>
          <w:p w:rsidR="00FF3B6D" w:rsidRPr="00CD2F10" w:rsidRDefault="00FF3B6D">
            <w:pPr>
              <w:spacing w:after="0"/>
              <w:rPr>
                <w:rFonts w:cs="Tahoma"/>
                <w:sz w:val="18"/>
                <w:szCs w:val="18"/>
                <w:lang w:val="en-GB"/>
              </w:rPr>
            </w:pPr>
          </w:p>
        </w:tc>
        <w:tc>
          <w:tcPr>
            <w:tcW w:w="1284" w:type="pct"/>
            <w:gridSpan w:val="2"/>
            <w:tcBorders>
              <w:bottom w:val="single" w:sz="4" w:space="0" w:color="1F497D" w:themeColor="text2"/>
            </w:tcBorders>
          </w:tcPr>
          <w:p w:rsidR="00FF3B6D" w:rsidRPr="00CD2F10" w:rsidRDefault="00C01DEC">
            <w:pPr>
              <w:spacing w:after="0"/>
              <w:rPr>
                <w:rFonts w:cs="Tahoma"/>
                <w:sz w:val="18"/>
                <w:szCs w:val="18"/>
                <w:lang w:val="en-GB"/>
              </w:rPr>
            </w:pPr>
            <w:r w:rsidRPr="00CD2F10">
              <w:rPr>
                <w:rFonts w:cs="Tahoma"/>
                <w:sz w:val="18"/>
                <w:szCs w:val="18"/>
                <w:lang w:val="en-GB"/>
              </w:rPr>
              <w:t>Postcode:</w:t>
            </w:r>
          </w:p>
        </w:tc>
        <w:tc>
          <w:tcPr>
            <w:tcW w:w="1506" w:type="pct"/>
            <w:gridSpan w:val="3"/>
            <w:tcBorders>
              <w:bottom w:val="single" w:sz="4" w:space="0" w:color="1F497D" w:themeColor="text2"/>
            </w:tcBorders>
          </w:tcPr>
          <w:p w:rsidR="00FF3B6D" w:rsidRPr="00CD2F10" w:rsidRDefault="00C01DEC">
            <w:pPr>
              <w:spacing w:after="0"/>
              <w:rPr>
                <w:rFonts w:cs="Tahoma"/>
                <w:sz w:val="18"/>
                <w:szCs w:val="18"/>
                <w:lang w:val="en-GB"/>
              </w:rPr>
            </w:pPr>
            <w:r w:rsidRPr="00CD2F10">
              <w:rPr>
                <w:rFonts w:cs="Tahoma"/>
                <w:sz w:val="18"/>
                <w:szCs w:val="18"/>
                <w:lang w:val="en-GB"/>
              </w:rPr>
              <w:t xml:space="preserve">City: </w:t>
            </w:r>
          </w:p>
        </w:tc>
        <w:tc>
          <w:tcPr>
            <w:tcW w:w="1314" w:type="pct"/>
            <w:gridSpan w:val="2"/>
            <w:tcBorders>
              <w:bottom w:val="single" w:sz="4" w:space="0" w:color="1F497D" w:themeColor="text2"/>
            </w:tcBorders>
          </w:tcPr>
          <w:p w:rsidR="00FF3B6D" w:rsidRPr="00CD2F10" w:rsidRDefault="00C01DEC">
            <w:pPr>
              <w:spacing w:after="0"/>
              <w:rPr>
                <w:rFonts w:cs="Tahoma"/>
                <w:sz w:val="18"/>
                <w:szCs w:val="18"/>
                <w:lang w:val="en-GB"/>
              </w:rPr>
            </w:pPr>
            <w:r w:rsidRPr="00CD2F10">
              <w:rPr>
                <w:rFonts w:cs="Tahoma"/>
                <w:sz w:val="18"/>
                <w:szCs w:val="18"/>
                <w:lang w:val="en-GB"/>
              </w:rPr>
              <w:t>Country:</w:t>
            </w:r>
          </w:p>
        </w:tc>
      </w:tr>
      <w:tr w:rsidR="006B07D4" w:rsidRPr="00CD2F10" w:rsidTr="00F23733">
        <w:trPr>
          <w:trHeight w:val="221"/>
        </w:trPr>
        <w:tc>
          <w:tcPr>
            <w:tcW w:w="5000" w:type="pct"/>
            <w:gridSpan w:val="9"/>
            <w:tcBorders>
              <w:bottom w:val="single" w:sz="4" w:space="0" w:color="1F497D" w:themeColor="text2"/>
            </w:tcBorders>
          </w:tcPr>
          <w:p w:rsidR="00FF3B6D" w:rsidRPr="00CD2F10" w:rsidRDefault="00C01DEC">
            <w:pPr>
              <w:spacing w:after="0"/>
              <w:rPr>
                <w:rFonts w:cs="Tahoma"/>
                <w:sz w:val="18"/>
                <w:szCs w:val="18"/>
                <w:lang w:val="en-GB"/>
              </w:rPr>
            </w:pPr>
            <w:r w:rsidRPr="00CD2F10">
              <w:rPr>
                <w:rFonts w:cs="Tahoma"/>
                <w:sz w:val="18"/>
                <w:szCs w:val="18"/>
                <w:lang w:val="en-GB"/>
              </w:rPr>
              <w:t>Contact Person:</w:t>
            </w:r>
          </w:p>
        </w:tc>
      </w:tr>
      <w:tr w:rsidR="006F7D63" w:rsidRPr="00CD2F10" w:rsidTr="00F23733">
        <w:trPr>
          <w:trHeight w:val="221"/>
        </w:trPr>
        <w:tc>
          <w:tcPr>
            <w:tcW w:w="2180" w:type="pct"/>
            <w:gridSpan w:val="4"/>
            <w:tcBorders>
              <w:top w:val="single" w:sz="4" w:space="0" w:color="1F497D" w:themeColor="text2"/>
              <w:bottom w:val="single" w:sz="4" w:space="0" w:color="1F497D" w:themeColor="text2"/>
            </w:tcBorders>
          </w:tcPr>
          <w:p w:rsidR="00FF3B6D" w:rsidRPr="00CD2F10" w:rsidRDefault="00C01DEC">
            <w:pPr>
              <w:spacing w:after="0"/>
              <w:rPr>
                <w:rFonts w:cs="Tahoma"/>
                <w:sz w:val="18"/>
                <w:szCs w:val="18"/>
                <w:lang w:val="en-GB"/>
              </w:rPr>
            </w:pPr>
            <w:r w:rsidRPr="00CD2F10">
              <w:rPr>
                <w:rFonts w:cs="Tahoma"/>
                <w:sz w:val="18"/>
                <w:szCs w:val="18"/>
                <w:lang w:val="en-GB"/>
              </w:rPr>
              <w:t>E-mail:</w:t>
            </w:r>
          </w:p>
        </w:tc>
        <w:tc>
          <w:tcPr>
            <w:tcW w:w="2820" w:type="pct"/>
            <w:gridSpan w:val="5"/>
            <w:tcBorders>
              <w:top w:val="single" w:sz="4" w:space="0" w:color="1F497D" w:themeColor="text2"/>
              <w:bottom w:val="single" w:sz="4" w:space="0" w:color="1F497D" w:themeColor="text2"/>
            </w:tcBorders>
          </w:tcPr>
          <w:p w:rsidR="00FF3B6D" w:rsidRPr="00CD2F10" w:rsidRDefault="00C01DEC">
            <w:pPr>
              <w:spacing w:after="0"/>
              <w:rPr>
                <w:rFonts w:cs="Tahoma"/>
                <w:sz w:val="18"/>
                <w:szCs w:val="18"/>
                <w:lang w:val="en-GB"/>
              </w:rPr>
            </w:pPr>
            <w:r w:rsidRPr="00CD2F10">
              <w:rPr>
                <w:rFonts w:cs="Tahoma"/>
                <w:sz w:val="18"/>
                <w:szCs w:val="18"/>
                <w:lang w:val="en-GB"/>
              </w:rPr>
              <w:t>Telephone:</w:t>
            </w:r>
          </w:p>
        </w:tc>
      </w:tr>
      <w:tr w:rsidR="00F23733" w:rsidRPr="00CD2F10" w:rsidTr="00F23733">
        <w:trPr>
          <w:trHeight w:val="221"/>
        </w:trPr>
        <w:tc>
          <w:tcPr>
            <w:tcW w:w="5000" w:type="pct"/>
            <w:gridSpan w:val="9"/>
            <w:tcBorders>
              <w:top w:val="single" w:sz="4" w:space="0" w:color="1F497D" w:themeColor="text2"/>
              <w:bottom w:val="single" w:sz="4" w:space="0" w:color="1F497D" w:themeColor="text2"/>
            </w:tcBorders>
          </w:tcPr>
          <w:p w:rsidR="00F23733" w:rsidRPr="00CD2F10" w:rsidRDefault="00F23733" w:rsidP="00F23733">
            <w:pPr>
              <w:spacing w:after="0"/>
              <w:jc w:val="left"/>
              <w:rPr>
                <w:rFonts w:cs="Tahoma"/>
                <w:b/>
                <w:sz w:val="18"/>
                <w:szCs w:val="18"/>
                <w:lang w:val="en-GB"/>
              </w:rPr>
            </w:pPr>
            <w:r w:rsidRPr="006B6F70">
              <w:rPr>
                <w:rFonts w:cs="Tahoma"/>
                <w:b/>
                <w:sz w:val="18"/>
                <w:szCs w:val="18"/>
              </w:rPr>
              <w:sym w:font="Symbol" w:char="F081"/>
            </w:r>
            <w:r w:rsidRPr="006B6F70">
              <w:rPr>
                <w:rFonts w:cs="Tahoma"/>
                <w:sz w:val="18"/>
                <w:szCs w:val="18"/>
              </w:rPr>
              <w:t xml:space="preserve"> </w:t>
            </w:r>
            <w:r>
              <w:rPr>
                <w:rFonts w:cs="Tahoma"/>
                <w:sz w:val="18"/>
                <w:szCs w:val="18"/>
              </w:rPr>
              <w:t xml:space="preserve"> Send me information about </w:t>
            </w:r>
            <w:r w:rsidRPr="006B6F70">
              <w:rPr>
                <w:rFonts w:cs="Tahoma"/>
                <w:sz w:val="18"/>
                <w:szCs w:val="18"/>
              </w:rPr>
              <w:t>CEPS</w:t>
            </w:r>
            <w:r>
              <w:rPr>
                <w:rFonts w:cs="Tahoma"/>
                <w:sz w:val="18"/>
                <w:szCs w:val="18"/>
              </w:rPr>
              <w:t xml:space="preserve"> Financial Institutions Unit’s activities</w:t>
            </w:r>
          </w:p>
        </w:tc>
      </w:tr>
      <w:tr w:rsidR="0039702B" w:rsidRPr="00CD2F10" w:rsidTr="00F23733">
        <w:trPr>
          <w:trHeight w:val="221"/>
        </w:trPr>
        <w:tc>
          <w:tcPr>
            <w:tcW w:w="1403" w:type="pct"/>
            <w:gridSpan w:val="3"/>
            <w:tcBorders>
              <w:top w:val="single" w:sz="4" w:space="0" w:color="1F497D" w:themeColor="text2"/>
              <w:right w:val="single" w:sz="4" w:space="0" w:color="1F497D" w:themeColor="text2"/>
            </w:tcBorders>
            <w:shd w:val="clear" w:color="auto" w:fill="B4CCC1"/>
          </w:tcPr>
          <w:p w:rsidR="0039702B" w:rsidRPr="00CD2F10" w:rsidRDefault="0039702B" w:rsidP="0039702B">
            <w:pPr>
              <w:spacing w:after="0"/>
              <w:rPr>
                <w:rFonts w:cs="Tahoma"/>
                <w:b/>
                <w:color w:val="7F7F7F" w:themeColor="text1" w:themeTint="80"/>
                <w:sz w:val="18"/>
                <w:szCs w:val="18"/>
                <w:lang w:val="en-GB"/>
              </w:rPr>
            </w:pPr>
            <w:r>
              <w:rPr>
                <w:rFonts w:cs="Tahoma"/>
                <w:b/>
                <w:sz w:val="18"/>
                <w:szCs w:val="18"/>
                <w:lang w:val="en-GB"/>
              </w:rPr>
              <w:t xml:space="preserve">Subscription </w:t>
            </w:r>
          </w:p>
        </w:tc>
        <w:tc>
          <w:tcPr>
            <w:tcW w:w="1699" w:type="pct"/>
            <w:gridSpan w:val="3"/>
            <w:tcBorders>
              <w:top w:val="single" w:sz="4" w:space="0" w:color="1F497D" w:themeColor="text2"/>
              <w:left w:val="single" w:sz="4" w:space="0" w:color="1F497D" w:themeColor="text2"/>
              <w:right w:val="single" w:sz="4" w:space="0" w:color="1F497D" w:themeColor="text2"/>
            </w:tcBorders>
            <w:shd w:val="clear" w:color="auto" w:fill="B4CCC1"/>
          </w:tcPr>
          <w:p w:rsidR="0039702B" w:rsidRPr="00CD2F10" w:rsidRDefault="0039702B" w:rsidP="007A67EE">
            <w:pPr>
              <w:spacing w:after="0"/>
              <w:jc w:val="center"/>
              <w:rPr>
                <w:rFonts w:cs="Tahoma"/>
                <w:b/>
                <w:color w:val="7F7F7F" w:themeColor="text1" w:themeTint="80"/>
                <w:sz w:val="18"/>
                <w:szCs w:val="18"/>
                <w:lang w:val="en-GB"/>
              </w:rPr>
            </w:pPr>
            <w:r w:rsidRPr="00CD2F10">
              <w:rPr>
                <w:rFonts w:cs="Tahoma"/>
                <w:b/>
                <w:sz w:val="18"/>
                <w:szCs w:val="18"/>
                <w:lang w:val="en-GB"/>
              </w:rPr>
              <w:t>CEPS member</w:t>
            </w:r>
            <w:r>
              <w:rPr>
                <w:rFonts w:cs="Tahoma"/>
                <w:b/>
                <w:sz w:val="18"/>
                <w:szCs w:val="18"/>
                <w:lang w:val="en-GB"/>
              </w:rPr>
              <w:t xml:space="preserve"> </w:t>
            </w:r>
            <w:r w:rsidRPr="007A67EE">
              <w:rPr>
                <w:rFonts w:cs="Tahoma"/>
                <w:sz w:val="18"/>
                <w:szCs w:val="18"/>
                <w:lang w:val="en-GB"/>
              </w:rPr>
              <w:t>(+21% VAT)</w:t>
            </w:r>
          </w:p>
        </w:tc>
        <w:tc>
          <w:tcPr>
            <w:tcW w:w="1897" w:type="pct"/>
            <w:gridSpan w:val="3"/>
            <w:tcBorders>
              <w:top w:val="single" w:sz="4" w:space="0" w:color="1F497D" w:themeColor="text2"/>
              <w:left w:val="single" w:sz="4" w:space="0" w:color="1F497D" w:themeColor="text2"/>
            </w:tcBorders>
            <w:shd w:val="clear" w:color="auto" w:fill="B4CCC1"/>
          </w:tcPr>
          <w:p w:rsidR="0039702B" w:rsidRPr="006F7D63" w:rsidRDefault="0039702B" w:rsidP="007A67EE">
            <w:pPr>
              <w:spacing w:after="0"/>
              <w:jc w:val="center"/>
              <w:rPr>
                <w:rFonts w:cs="Tahoma"/>
                <w:b/>
                <w:sz w:val="18"/>
                <w:szCs w:val="18"/>
                <w:lang w:val="en-GB"/>
              </w:rPr>
            </w:pPr>
            <w:r w:rsidRPr="006F7D63">
              <w:rPr>
                <w:rFonts w:cs="Tahoma"/>
                <w:b/>
                <w:sz w:val="18"/>
                <w:szCs w:val="18"/>
                <w:lang w:val="en-GB"/>
              </w:rPr>
              <w:t>Non-CEPS member</w:t>
            </w:r>
            <w:r>
              <w:rPr>
                <w:rFonts w:cs="Tahoma"/>
                <w:b/>
                <w:sz w:val="18"/>
                <w:szCs w:val="18"/>
                <w:lang w:val="en-GB"/>
              </w:rPr>
              <w:t xml:space="preserve"> </w:t>
            </w:r>
            <w:r w:rsidRPr="007A67EE">
              <w:rPr>
                <w:rFonts w:cs="Tahoma"/>
                <w:sz w:val="18"/>
                <w:szCs w:val="18"/>
                <w:lang w:val="en-GB"/>
              </w:rPr>
              <w:t>(+21% VAT)</w:t>
            </w:r>
          </w:p>
        </w:tc>
      </w:tr>
      <w:tr w:rsidR="0039702B" w:rsidRPr="00CD2F10" w:rsidTr="00F23733">
        <w:trPr>
          <w:trHeight w:val="221"/>
        </w:trPr>
        <w:tc>
          <w:tcPr>
            <w:tcW w:w="1403" w:type="pct"/>
            <w:gridSpan w:val="3"/>
            <w:tcBorders>
              <w:bottom w:val="single" w:sz="4" w:space="0" w:color="1F497D" w:themeColor="text2"/>
              <w:right w:val="single" w:sz="4" w:space="0" w:color="1F497D" w:themeColor="text2"/>
            </w:tcBorders>
          </w:tcPr>
          <w:p w:rsidR="0039702B" w:rsidRPr="00CD2F10" w:rsidRDefault="0039702B" w:rsidP="00743236">
            <w:pPr>
              <w:spacing w:after="0"/>
              <w:rPr>
                <w:rFonts w:cs="Tahoma"/>
                <w:sz w:val="18"/>
                <w:szCs w:val="18"/>
                <w:lang w:val="en-GB"/>
              </w:rPr>
            </w:pPr>
            <w:r w:rsidRPr="00743236">
              <w:rPr>
                <w:rFonts w:cs="Tahoma"/>
                <w:sz w:val="18"/>
                <w:szCs w:val="18"/>
                <w:lang w:val="en-GB"/>
              </w:rPr>
              <w:t>R</w:t>
            </w:r>
            <w:r>
              <w:rPr>
                <w:rFonts w:cs="Tahoma"/>
                <w:sz w:val="18"/>
                <w:szCs w:val="18"/>
                <w:lang w:val="en-GB"/>
              </w:rPr>
              <w:t>T</w:t>
            </w:r>
            <w:r w:rsidRPr="00743236">
              <w:rPr>
                <w:rFonts w:cs="Tahoma"/>
                <w:sz w:val="18"/>
                <w:szCs w:val="18"/>
                <w:lang w:val="en-GB"/>
              </w:rPr>
              <w:t>1</w:t>
            </w:r>
            <w:r>
              <w:rPr>
                <w:rFonts w:cs="Tahoma"/>
                <w:sz w:val="18"/>
                <w:szCs w:val="18"/>
                <w:lang w:val="en-GB"/>
              </w:rPr>
              <w:t xml:space="preserve"> </w:t>
            </w:r>
            <w:r w:rsidRPr="00743236">
              <w:rPr>
                <w:rFonts w:cs="Tahoma"/>
                <w:sz w:val="18"/>
                <w:szCs w:val="18"/>
                <w:lang w:val="en-GB"/>
              </w:rPr>
              <w:t>CRR/CRD IV</w:t>
            </w:r>
          </w:p>
        </w:tc>
        <w:tc>
          <w:tcPr>
            <w:tcW w:w="1699" w:type="pct"/>
            <w:gridSpan w:val="3"/>
            <w:tcBorders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39702B" w:rsidRPr="00CD2F10" w:rsidRDefault="0039702B" w:rsidP="007A67EE">
            <w:pPr>
              <w:spacing w:after="0"/>
              <w:ind w:right="2"/>
              <w:jc w:val="center"/>
              <w:rPr>
                <w:rFonts w:cs="Tahoma"/>
                <w:sz w:val="18"/>
                <w:szCs w:val="18"/>
                <w:lang w:val="en-GB"/>
              </w:rPr>
            </w:pPr>
            <w:r w:rsidRPr="00CD2F10">
              <w:rPr>
                <w:rFonts w:cs="Tahoma"/>
                <w:b/>
                <w:sz w:val="18"/>
                <w:szCs w:val="18"/>
                <w:lang w:val="en-GB"/>
              </w:rPr>
              <w:sym w:font="Symbol" w:char="F081"/>
            </w:r>
            <w:r w:rsidRPr="00CD2F10">
              <w:rPr>
                <w:rFonts w:cs="Tahoma"/>
                <w:sz w:val="18"/>
                <w:szCs w:val="18"/>
                <w:lang w:val="en-GB"/>
              </w:rPr>
              <w:t xml:space="preserve"> </w:t>
            </w:r>
            <w:r>
              <w:rPr>
                <w:rFonts w:cs="Tahoma"/>
                <w:sz w:val="18"/>
                <w:szCs w:val="18"/>
                <w:lang w:val="en-GB"/>
              </w:rPr>
              <w:t>Free</w:t>
            </w:r>
          </w:p>
        </w:tc>
        <w:tc>
          <w:tcPr>
            <w:tcW w:w="1897" w:type="pct"/>
            <w:gridSpan w:val="3"/>
            <w:tcBorders>
              <w:left w:val="single" w:sz="4" w:space="0" w:color="1F497D" w:themeColor="text2"/>
              <w:bottom w:val="single" w:sz="4" w:space="0" w:color="1F497D" w:themeColor="text2"/>
            </w:tcBorders>
          </w:tcPr>
          <w:p w:rsidR="0039702B" w:rsidRPr="00CD2F10" w:rsidRDefault="0039702B" w:rsidP="007A67EE">
            <w:pPr>
              <w:spacing w:after="0"/>
              <w:jc w:val="center"/>
              <w:rPr>
                <w:rFonts w:cs="Tahoma"/>
                <w:sz w:val="18"/>
                <w:szCs w:val="18"/>
                <w:lang w:val="en-GB"/>
              </w:rPr>
            </w:pPr>
            <w:r w:rsidRPr="00CD2F10">
              <w:rPr>
                <w:rFonts w:cs="Tahoma"/>
                <w:b/>
                <w:sz w:val="18"/>
                <w:szCs w:val="18"/>
                <w:lang w:val="en-GB"/>
              </w:rPr>
              <w:sym w:font="Symbol" w:char="F081"/>
            </w:r>
            <w:r w:rsidRPr="00CD2F10">
              <w:rPr>
                <w:rFonts w:cs="Tahoma"/>
                <w:sz w:val="18"/>
                <w:szCs w:val="18"/>
                <w:lang w:val="en-GB"/>
              </w:rPr>
              <w:t xml:space="preserve"> </w:t>
            </w:r>
            <w:r>
              <w:rPr>
                <w:rFonts w:cs="Tahoma"/>
                <w:sz w:val="18"/>
                <w:szCs w:val="18"/>
                <w:lang w:val="en-GB"/>
              </w:rPr>
              <w:t xml:space="preserve">   500,-</w:t>
            </w:r>
          </w:p>
        </w:tc>
      </w:tr>
      <w:tr w:rsidR="0039702B" w:rsidRPr="00CD2F10" w:rsidTr="00F23733">
        <w:trPr>
          <w:trHeight w:val="221"/>
        </w:trPr>
        <w:tc>
          <w:tcPr>
            <w:tcW w:w="1403" w:type="pct"/>
            <w:gridSpan w:val="3"/>
            <w:tcBorders>
              <w:bottom w:val="single" w:sz="4" w:space="0" w:color="1F497D" w:themeColor="text2"/>
              <w:right w:val="single" w:sz="4" w:space="0" w:color="1F497D" w:themeColor="text2"/>
            </w:tcBorders>
          </w:tcPr>
          <w:p w:rsidR="0039702B" w:rsidRPr="00CD2F10" w:rsidRDefault="0039702B">
            <w:pPr>
              <w:spacing w:after="0"/>
              <w:rPr>
                <w:rFonts w:cs="Tahoma"/>
                <w:sz w:val="18"/>
                <w:szCs w:val="18"/>
                <w:lang w:val="en-GB"/>
              </w:rPr>
            </w:pPr>
            <w:r w:rsidRPr="00743236">
              <w:rPr>
                <w:rFonts w:cs="Tahoma"/>
                <w:sz w:val="18"/>
                <w:szCs w:val="18"/>
                <w:lang w:val="en-GB"/>
              </w:rPr>
              <w:t>RT2 Solvency II</w:t>
            </w:r>
          </w:p>
        </w:tc>
        <w:tc>
          <w:tcPr>
            <w:tcW w:w="1699" w:type="pct"/>
            <w:gridSpan w:val="3"/>
            <w:tcBorders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39702B" w:rsidRPr="00CD2F10" w:rsidRDefault="0039702B" w:rsidP="007A67EE">
            <w:pPr>
              <w:spacing w:after="0"/>
              <w:jc w:val="center"/>
              <w:rPr>
                <w:rFonts w:cs="Tahoma"/>
                <w:sz w:val="18"/>
                <w:szCs w:val="18"/>
                <w:lang w:val="en-GB"/>
              </w:rPr>
            </w:pPr>
            <w:r w:rsidRPr="00CD2F10">
              <w:rPr>
                <w:rFonts w:cs="Tahoma"/>
                <w:b/>
                <w:sz w:val="18"/>
                <w:szCs w:val="18"/>
                <w:lang w:val="en-GB"/>
              </w:rPr>
              <w:sym w:font="Symbol" w:char="F081"/>
            </w:r>
            <w:r w:rsidRPr="00CD2F10">
              <w:rPr>
                <w:rFonts w:cs="Tahoma"/>
                <w:sz w:val="18"/>
                <w:szCs w:val="18"/>
                <w:lang w:val="en-GB"/>
              </w:rPr>
              <w:t xml:space="preserve"> </w:t>
            </w:r>
            <w:r>
              <w:rPr>
                <w:rFonts w:cs="Tahoma"/>
                <w:sz w:val="18"/>
                <w:szCs w:val="18"/>
                <w:lang w:val="en-GB"/>
              </w:rPr>
              <w:t>200,-</w:t>
            </w:r>
          </w:p>
        </w:tc>
        <w:tc>
          <w:tcPr>
            <w:tcW w:w="1897" w:type="pct"/>
            <w:gridSpan w:val="3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</w:tcBorders>
          </w:tcPr>
          <w:p w:rsidR="0039702B" w:rsidRPr="00CD2F10" w:rsidRDefault="0039702B" w:rsidP="007A67EE">
            <w:pPr>
              <w:spacing w:after="0"/>
              <w:jc w:val="center"/>
              <w:rPr>
                <w:rFonts w:cs="Tahoma"/>
                <w:sz w:val="18"/>
                <w:szCs w:val="18"/>
                <w:lang w:val="en-GB"/>
              </w:rPr>
            </w:pPr>
            <w:r w:rsidRPr="00CD2F10">
              <w:rPr>
                <w:rFonts w:cs="Tahoma"/>
                <w:b/>
                <w:sz w:val="18"/>
                <w:szCs w:val="18"/>
                <w:lang w:val="en-GB"/>
              </w:rPr>
              <w:sym w:font="Symbol" w:char="F081"/>
            </w:r>
            <w:r w:rsidRPr="00CD2F10">
              <w:rPr>
                <w:rFonts w:cs="Tahoma"/>
                <w:sz w:val="18"/>
                <w:szCs w:val="18"/>
                <w:lang w:val="en-GB"/>
              </w:rPr>
              <w:t xml:space="preserve"> </w:t>
            </w:r>
            <w:r>
              <w:rPr>
                <w:rFonts w:cs="Tahoma"/>
                <w:sz w:val="18"/>
                <w:szCs w:val="18"/>
                <w:lang w:val="en-GB"/>
              </w:rPr>
              <w:t>1,000,-</w:t>
            </w:r>
          </w:p>
        </w:tc>
      </w:tr>
      <w:tr w:rsidR="0039702B" w:rsidRPr="00CD2F10" w:rsidTr="00F23733">
        <w:trPr>
          <w:trHeight w:val="221"/>
        </w:trPr>
        <w:tc>
          <w:tcPr>
            <w:tcW w:w="1403" w:type="pct"/>
            <w:gridSpan w:val="3"/>
            <w:tcBorders>
              <w:bottom w:val="single" w:sz="4" w:space="0" w:color="1F497D" w:themeColor="text2"/>
              <w:right w:val="single" w:sz="4" w:space="0" w:color="1F497D" w:themeColor="text2"/>
            </w:tcBorders>
          </w:tcPr>
          <w:p w:rsidR="0039702B" w:rsidRPr="00CD2F10" w:rsidRDefault="0039702B">
            <w:pPr>
              <w:spacing w:after="0"/>
              <w:rPr>
                <w:rFonts w:cs="Tahoma"/>
                <w:sz w:val="18"/>
                <w:szCs w:val="18"/>
                <w:lang w:val="en-GB"/>
              </w:rPr>
            </w:pPr>
            <w:r w:rsidRPr="00743236">
              <w:rPr>
                <w:rFonts w:cs="Tahoma"/>
                <w:sz w:val="18"/>
                <w:szCs w:val="18"/>
                <w:lang w:val="en-GB"/>
              </w:rPr>
              <w:t>RT3 Crisis management</w:t>
            </w:r>
          </w:p>
        </w:tc>
        <w:tc>
          <w:tcPr>
            <w:tcW w:w="1699" w:type="pct"/>
            <w:gridSpan w:val="3"/>
            <w:tcBorders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39702B" w:rsidRPr="00CD2F10" w:rsidRDefault="0039702B" w:rsidP="007A67EE">
            <w:pPr>
              <w:spacing w:after="0"/>
              <w:jc w:val="center"/>
              <w:rPr>
                <w:rFonts w:cs="Tahoma"/>
                <w:sz w:val="18"/>
                <w:szCs w:val="18"/>
                <w:lang w:val="en-GB"/>
              </w:rPr>
            </w:pPr>
            <w:r w:rsidRPr="00CD2F10">
              <w:rPr>
                <w:rFonts w:cs="Tahoma"/>
                <w:b/>
                <w:sz w:val="18"/>
                <w:szCs w:val="18"/>
                <w:lang w:val="en-GB"/>
              </w:rPr>
              <w:sym w:font="Symbol" w:char="F081"/>
            </w:r>
            <w:r w:rsidRPr="00CD2F10">
              <w:rPr>
                <w:rFonts w:cs="Tahoma"/>
                <w:sz w:val="18"/>
                <w:szCs w:val="18"/>
                <w:lang w:val="en-GB"/>
              </w:rPr>
              <w:t xml:space="preserve"> </w:t>
            </w:r>
            <w:r>
              <w:rPr>
                <w:rFonts w:cs="Tahoma"/>
                <w:sz w:val="18"/>
                <w:szCs w:val="18"/>
                <w:lang w:val="en-GB"/>
              </w:rPr>
              <w:t>200,-</w:t>
            </w:r>
          </w:p>
        </w:tc>
        <w:tc>
          <w:tcPr>
            <w:tcW w:w="1897" w:type="pct"/>
            <w:gridSpan w:val="3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</w:tcBorders>
          </w:tcPr>
          <w:p w:rsidR="0039702B" w:rsidRPr="00CD2F10" w:rsidRDefault="0039702B" w:rsidP="007A67EE">
            <w:pPr>
              <w:spacing w:after="0"/>
              <w:jc w:val="center"/>
              <w:rPr>
                <w:rFonts w:cs="Tahoma"/>
                <w:sz w:val="18"/>
                <w:szCs w:val="18"/>
                <w:lang w:val="en-GB"/>
              </w:rPr>
            </w:pPr>
            <w:r w:rsidRPr="00CD2F10">
              <w:rPr>
                <w:rFonts w:cs="Tahoma"/>
                <w:b/>
                <w:sz w:val="18"/>
                <w:szCs w:val="18"/>
                <w:lang w:val="en-GB"/>
              </w:rPr>
              <w:sym w:font="Symbol" w:char="F081"/>
            </w:r>
            <w:r w:rsidRPr="00CD2F10">
              <w:rPr>
                <w:rFonts w:cs="Tahoma"/>
                <w:sz w:val="18"/>
                <w:szCs w:val="18"/>
                <w:lang w:val="en-GB"/>
              </w:rPr>
              <w:t xml:space="preserve"> </w:t>
            </w:r>
            <w:r>
              <w:rPr>
                <w:rFonts w:cs="Tahoma"/>
                <w:sz w:val="18"/>
                <w:szCs w:val="18"/>
                <w:lang w:val="en-GB"/>
              </w:rPr>
              <w:t>1,000,-</w:t>
            </w:r>
          </w:p>
        </w:tc>
      </w:tr>
      <w:tr w:rsidR="0039702B" w:rsidRPr="00CD2F10" w:rsidTr="00F23733">
        <w:trPr>
          <w:trHeight w:val="221"/>
        </w:trPr>
        <w:tc>
          <w:tcPr>
            <w:tcW w:w="1403" w:type="pct"/>
            <w:gridSpan w:val="3"/>
            <w:tcBorders>
              <w:bottom w:val="single" w:sz="4" w:space="0" w:color="1F497D" w:themeColor="text2"/>
              <w:right w:val="single" w:sz="4" w:space="0" w:color="1F497D" w:themeColor="text2"/>
            </w:tcBorders>
          </w:tcPr>
          <w:p w:rsidR="0039702B" w:rsidRPr="00CD2F10" w:rsidRDefault="0039702B">
            <w:pPr>
              <w:spacing w:after="0"/>
              <w:rPr>
                <w:rFonts w:cs="Tahoma"/>
                <w:sz w:val="18"/>
                <w:szCs w:val="18"/>
                <w:lang w:val="en-GB"/>
              </w:rPr>
            </w:pPr>
            <w:r>
              <w:rPr>
                <w:rFonts w:cs="Tahoma"/>
                <w:sz w:val="18"/>
                <w:szCs w:val="18"/>
                <w:lang w:val="en-GB"/>
              </w:rPr>
              <w:t xml:space="preserve">RT4 </w:t>
            </w:r>
            <w:r w:rsidRPr="00743236">
              <w:rPr>
                <w:rFonts w:cs="Tahoma"/>
                <w:sz w:val="18"/>
                <w:szCs w:val="18"/>
                <w:lang w:val="en-GB"/>
              </w:rPr>
              <w:t>Shadow banking</w:t>
            </w:r>
          </w:p>
        </w:tc>
        <w:tc>
          <w:tcPr>
            <w:tcW w:w="1699" w:type="pct"/>
            <w:gridSpan w:val="3"/>
            <w:tcBorders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39702B" w:rsidRPr="00CD2F10" w:rsidRDefault="0039702B" w:rsidP="007A67EE">
            <w:pPr>
              <w:spacing w:after="0"/>
              <w:jc w:val="center"/>
              <w:rPr>
                <w:rFonts w:cs="Tahoma"/>
                <w:sz w:val="18"/>
                <w:szCs w:val="18"/>
                <w:lang w:val="en-GB"/>
              </w:rPr>
            </w:pPr>
            <w:r w:rsidRPr="00CD2F10">
              <w:rPr>
                <w:rFonts w:cs="Tahoma"/>
                <w:b/>
                <w:sz w:val="18"/>
                <w:szCs w:val="18"/>
                <w:lang w:val="en-GB"/>
              </w:rPr>
              <w:sym w:font="Symbol" w:char="F081"/>
            </w:r>
            <w:r w:rsidRPr="00CD2F10">
              <w:rPr>
                <w:rFonts w:cs="Tahoma"/>
                <w:sz w:val="18"/>
                <w:szCs w:val="18"/>
                <w:lang w:val="en-GB"/>
              </w:rPr>
              <w:t xml:space="preserve"> </w:t>
            </w:r>
            <w:r>
              <w:rPr>
                <w:rFonts w:cs="Tahoma"/>
                <w:sz w:val="18"/>
                <w:szCs w:val="18"/>
                <w:lang w:val="en-GB"/>
              </w:rPr>
              <w:t>200,-</w:t>
            </w:r>
          </w:p>
        </w:tc>
        <w:tc>
          <w:tcPr>
            <w:tcW w:w="1897" w:type="pct"/>
            <w:gridSpan w:val="3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</w:tcBorders>
          </w:tcPr>
          <w:p w:rsidR="0039702B" w:rsidRPr="00CD2F10" w:rsidRDefault="0039702B" w:rsidP="007A67EE">
            <w:pPr>
              <w:spacing w:after="0"/>
              <w:jc w:val="center"/>
              <w:rPr>
                <w:rFonts w:cs="Tahoma"/>
                <w:sz w:val="18"/>
                <w:szCs w:val="18"/>
                <w:lang w:val="en-GB"/>
              </w:rPr>
            </w:pPr>
            <w:r w:rsidRPr="00CD2F10">
              <w:rPr>
                <w:rFonts w:cs="Tahoma"/>
                <w:b/>
                <w:sz w:val="18"/>
                <w:szCs w:val="18"/>
                <w:lang w:val="en-GB"/>
              </w:rPr>
              <w:sym w:font="Symbol" w:char="F081"/>
            </w:r>
            <w:r w:rsidRPr="00CD2F10">
              <w:rPr>
                <w:rFonts w:cs="Tahoma"/>
                <w:sz w:val="18"/>
                <w:szCs w:val="18"/>
                <w:lang w:val="en-GB"/>
              </w:rPr>
              <w:t xml:space="preserve"> </w:t>
            </w:r>
            <w:r>
              <w:rPr>
                <w:rFonts w:cs="Tahoma"/>
                <w:sz w:val="18"/>
                <w:szCs w:val="18"/>
                <w:lang w:val="en-GB"/>
              </w:rPr>
              <w:t>1,000,-</w:t>
            </w:r>
          </w:p>
        </w:tc>
      </w:tr>
      <w:tr w:rsidR="0039702B" w:rsidRPr="00CD2F10" w:rsidTr="00F23733">
        <w:trPr>
          <w:trHeight w:val="221"/>
        </w:trPr>
        <w:tc>
          <w:tcPr>
            <w:tcW w:w="5000" w:type="pct"/>
            <w:gridSpan w:val="9"/>
            <w:tcBorders>
              <w:bottom w:val="single" w:sz="4" w:space="0" w:color="1F497D" w:themeColor="text2"/>
            </w:tcBorders>
          </w:tcPr>
          <w:p w:rsidR="0039702B" w:rsidRPr="00CD2F10" w:rsidRDefault="0039702B" w:rsidP="0039702B">
            <w:pPr>
              <w:spacing w:after="0"/>
              <w:jc w:val="left"/>
              <w:rPr>
                <w:rFonts w:cs="Tahoma"/>
                <w:b/>
                <w:sz w:val="18"/>
                <w:szCs w:val="18"/>
                <w:lang w:val="en-GB"/>
              </w:rPr>
            </w:pPr>
            <w:r w:rsidRPr="006B6F70">
              <w:rPr>
                <w:rFonts w:cs="Tahoma"/>
                <w:b/>
                <w:sz w:val="18"/>
                <w:szCs w:val="18"/>
              </w:rPr>
              <w:sym w:font="Symbol" w:char="F081"/>
            </w:r>
            <w:r w:rsidRPr="006B6F70">
              <w:rPr>
                <w:rFonts w:cs="Tahoma"/>
                <w:sz w:val="18"/>
                <w:szCs w:val="18"/>
              </w:rPr>
              <w:t xml:space="preserve"> </w:t>
            </w:r>
            <w:r>
              <w:rPr>
                <w:rFonts w:cs="Tahoma"/>
                <w:sz w:val="18"/>
                <w:szCs w:val="18"/>
              </w:rPr>
              <w:t xml:space="preserve">Interested in becoming a member </w:t>
            </w:r>
            <w:r w:rsidRPr="006B6F70">
              <w:rPr>
                <w:rFonts w:cs="Tahoma"/>
                <w:sz w:val="18"/>
                <w:szCs w:val="18"/>
              </w:rPr>
              <w:t>of CEPS</w:t>
            </w:r>
          </w:p>
        </w:tc>
      </w:tr>
      <w:tr w:rsidR="0039702B" w:rsidRPr="00CD2F10" w:rsidTr="00F23733">
        <w:trPr>
          <w:trHeight w:val="221"/>
        </w:trPr>
        <w:tc>
          <w:tcPr>
            <w:tcW w:w="5000" w:type="pct"/>
            <w:gridSpan w:val="9"/>
            <w:tcBorders>
              <w:top w:val="single" w:sz="4" w:space="0" w:color="1F497D" w:themeColor="text2"/>
            </w:tcBorders>
            <w:shd w:val="clear" w:color="auto" w:fill="B4CCC1"/>
          </w:tcPr>
          <w:p w:rsidR="0039702B" w:rsidRPr="00CD2F10" w:rsidRDefault="0039702B" w:rsidP="00743236">
            <w:pPr>
              <w:spacing w:after="0"/>
              <w:rPr>
                <w:rFonts w:cs="Tahoma"/>
                <w:b/>
                <w:color w:val="7F7F7F" w:themeColor="text1" w:themeTint="80"/>
                <w:sz w:val="18"/>
                <w:szCs w:val="18"/>
                <w:lang w:val="en-GB"/>
              </w:rPr>
            </w:pPr>
            <w:r w:rsidRPr="00CD2F10">
              <w:rPr>
                <w:rFonts w:cs="Tahoma"/>
                <w:b/>
                <w:sz w:val="18"/>
                <w:szCs w:val="18"/>
                <w:lang w:val="en-GB"/>
              </w:rPr>
              <w:t>Billing information</w:t>
            </w:r>
            <w:r>
              <w:rPr>
                <w:rFonts w:cs="Tahoma"/>
                <w:b/>
                <w:sz w:val="18"/>
                <w:szCs w:val="18"/>
                <w:lang w:val="en-GB"/>
              </w:rPr>
              <w:t xml:space="preserve"> </w:t>
            </w:r>
          </w:p>
        </w:tc>
      </w:tr>
      <w:tr w:rsidR="0039702B" w:rsidRPr="00CD2F10" w:rsidTr="00F23733">
        <w:trPr>
          <w:trHeight w:val="221"/>
        </w:trPr>
        <w:tc>
          <w:tcPr>
            <w:tcW w:w="5000" w:type="pct"/>
            <w:gridSpan w:val="9"/>
            <w:tcBorders>
              <w:bottom w:val="single" w:sz="4" w:space="0" w:color="1F497D" w:themeColor="text2"/>
            </w:tcBorders>
          </w:tcPr>
          <w:p w:rsidR="0039702B" w:rsidRPr="00CD2F10" w:rsidRDefault="0039702B" w:rsidP="00743236">
            <w:pPr>
              <w:spacing w:after="0"/>
              <w:rPr>
                <w:rFonts w:cs="Tahoma"/>
                <w:sz w:val="18"/>
                <w:szCs w:val="18"/>
                <w:lang w:val="en-GB"/>
              </w:rPr>
            </w:pPr>
            <w:r w:rsidRPr="00CD2F10">
              <w:rPr>
                <w:rFonts w:cs="Tahoma"/>
                <w:sz w:val="18"/>
                <w:szCs w:val="18"/>
                <w:lang w:val="en-GB"/>
              </w:rPr>
              <w:t>Tax register number (VAT for Europe):</w:t>
            </w:r>
          </w:p>
        </w:tc>
      </w:tr>
      <w:tr w:rsidR="0039702B" w:rsidRPr="00CD2F10" w:rsidTr="00F23733">
        <w:trPr>
          <w:trHeight w:val="221"/>
        </w:trPr>
        <w:tc>
          <w:tcPr>
            <w:tcW w:w="5000" w:type="pct"/>
            <w:gridSpan w:val="9"/>
            <w:tcBorders>
              <w:top w:val="single" w:sz="4" w:space="0" w:color="1F497D" w:themeColor="text2"/>
              <w:bottom w:val="single" w:sz="4" w:space="0" w:color="1F497D" w:themeColor="text2"/>
            </w:tcBorders>
          </w:tcPr>
          <w:p w:rsidR="0039702B" w:rsidRPr="00CD2F10" w:rsidRDefault="0039702B" w:rsidP="00743236">
            <w:pPr>
              <w:spacing w:after="0"/>
              <w:rPr>
                <w:rFonts w:cs="Tahoma"/>
                <w:sz w:val="18"/>
                <w:szCs w:val="18"/>
                <w:lang w:val="en-GB"/>
              </w:rPr>
            </w:pPr>
            <w:r w:rsidRPr="00CD2F10">
              <w:rPr>
                <w:rFonts w:cs="Tahoma"/>
                <w:sz w:val="18"/>
                <w:szCs w:val="18"/>
                <w:lang w:val="en-GB"/>
              </w:rPr>
              <w:t>Your reference, Customer Purchase Order No. or Cost Code N:</w:t>
            </w:r>
          </w:p>
        </w:tc>
      </w:tr>
      <w:tr w:rsidR="0039702B" w:rsidRPr="00CD2F10" w:rsidTr="00F23733">
        <w:trPr>
          <w:trHeight w:val="221"/>
        </w:trPr>
        <w:tc>
          <w:tcPr>
            <w:tcW w:w="5000" w:type="pct"/>
            <w:gridSpan w:val="9"/>
            <w:tcBorders>
              <w:top w:val="single" w:sz="4" w:space="0" w:color="1F497D" w:themeColor="text2"/>
              <w:bottom w:val="single" w:sz="4" w:space="0" w:color="1F497D" w:themeColor="text2"/>
            </w:tcBorders>
          </w:tcPr>
          <w:p w:rsidR="0039702B" w:rsidRPr="00CD2F10" w:rsidRDefault="0039702B" w:rsidP="00743236">
            <w:pPr>
              <w:spacing w:after="0"/>
              <w:rPr>
                <w:rFonts w:cs="Tahoma"/>
                <w:sz w:val="18"/>
                <w:szCs w:val="18"/>
                <w:lang w:val="en-GB"/>
              </w:rPr>
            </w:pPr>
            <w:r w:rsidRPr="00CD2F10">
              <w:rPr>
                <w:rFonts w:cs="Tahoma"/>
                <w:sz w:val="18"/>
                <w:szCs w:val="18"/>
                <w:lang w:val="en-GB"/>
              </w:rPr>
              <w:t>Department:</w:t>
            </w:r>
          </w:p>
        </w:tc>
      </w:tr>
      <w:tr w:rsidR="0039702B" w:rsidRPr="00CD2F10" w:rsidTr="00F23733">
        <w:trPr>
          <w:trHeight w:val="221"/>
        </w:trPr>
        <w:tc>
          <w:tcPr>
            <w:tcW w:w="2203" w:type="pct"/>
            <w:gridSpan w:val="5"/>
            <w:tcBorders>
              <w:top w:val="single" w:sz="4" w:space="0" w:color="1F497D" w:themeColor="text2"/>
              <w:bottom w:val="single" w:sz="4" w:space="0" w:color="1F497D" w:themeColor="text2"/>
            </w:tcBorders>
          </w:tcPr>
          <w:p w:rsidR="0039702B" w:rsidRPr="00CD2F10" w:rsidRDefault="0039702B" w:rsidP="00743236">
            <w:pPr>
              <w:spacing w:after="0"/>
              <w:rPr>
                <w:rFonts w:cs="Tahoma"/>
                <w:sz w:val="18"/>
                <w:szCs w:val="18"/>
                <w:lang w:val="en-GB"/>
              </w:rPr>
            </w:pPr>
            <w:r w:rsidRPr="00CD2F10">
              <w:rPr>
                <w:rFonts w:cs="Tahoma"/>
                <w:sz w:val="18"/>
                <w:szCs w:val="18"/>
                <w:lang w:val="en-GB"/>
              </w:rPr>
              <w:t>Postal address:</w:t>
            </w:r>
          </w:p>
        </w:tc>
        <w:tc>
          <w:tcPr>
            <w:tcW w:w="2797" w:type="pct"/>
            <w:gridSpan w:val="4"/>
            <w:tcBorders>
              <w:top w:val="single" w:sz="4" w:space="0" w:color="1F497D" w:themeColor="text2"/>
              <w:bottom w:val="single" w:sz="4" w:space="0" w:color="1F497D" w:themeColor="text2"/>
            </w:tcBorders>
          </w:tcPr>
          <w:p w:rsidR="0039702B" w:rsidRPr="00CD2F10" w:rsidRDefault="0039702B" w:rsidP="00743236">
            <w:pPr>
              <w:spacing w:after="0"/>
              <w:rPr>
                <w:rFonts w:cs="Tahoma"/>
                <w:sz w:val="18"/>
                <w:szCs w:val="18"/>
                <w:lang w:val="en-GB"/>
              </w:rPr>
            </w:pPr>
          </w:p>
        </w:tc>
      </w:tr>
      <w:tr w:rsidR="0039702B" w:rsidRPr="00CD2F10" w:rsidTr="00F23733">
        <w:trPr>
          <w:trHeight w:val="221"/>
        </w:trPr>
        <w:tc>
          <w:tcPr>
            <w:tcW w:w="896" w:type="pct"/>
            <w:gridSpan w:val="2"/>
            <w:tcBorders>
              <w:top w:val="single" w:sz="4" w:space="0" w:color="1F497D" w:themeColor="text2"/>
            </w:tcBorders>
          </w:tcPr>
          <w:p w:rsidR="0039702B" w:rsidRPr="00CD2F10" w:rsidRDefault="0039702B" w:rsidP="00743236">
            <w:pPr>
              <w:spacing w:after="0"/>
              <w:rPr>
                <w:rFonts w:cs="Tahoma"/>
                <w:sz w:val="18"/>
                <w:szCs w:val="18"/>
                <w:lang w:val="en-GB"/>
              </w:rPr>
            </w:pPr>
          </w:p>
        </w:tc>
        <w:tc>
          <w:tcPr>
            <w:tcW w:w="1284" w:type="pct"/>
            <w:gridSpan w:val="2"/>
            <w:tcBorders>
              <w:bottom w:val="single" w:sz="4" w:space="0" w:color="1F497D" w:themeColor="text2"/>
            </w:tcBorders>
          </w:tcPr>
          <w:p w:rsidR="0039702B" w:rsidRPr="00CD2F10" w:rsidRDefault="0039702B" w:rsidP="00743236">
            <w:pPr>
              <w:spacing w:after="0"/>
              <w:rPr>
                <w:rFonts w:cs="Tahoma"/>
                <w:sz w:val="18"/>
                <w:szCs w:val="18"/>
                <w:lang w:val="en-GB"/>
              </w:rPr>
            </w:pPr>
            <w:r w:rsidRPr="00CD2F10">
              <w:rPr>
                <w:rFonts w:cs="Tahoma"/>
                <w:sz w:val="18"/>
                <w:szCs w:val="18"/>
                <w:lang w:val="en-GB"/>
              </w:rPr>
              <w:t>Postcode:</w:t>
            </w:r>
          </w:p>
        </w:tc>
        <w:tc>
          <w:tcPr>
            <w:tcW w:w="1506" w:type="pct"/>
            <w:gridSpan w:val="3"/>
            <w:tcBorders>
              <w:bottom w:val="single" w:sz="4" w:space="0" w:color="1F497D" w:themeColor="text2"/>
            </w:tcBorders>
          </w:tcPr>
          <w:p w:rsidR="0039702B" w:rsidRPr="00CD2F10" w:rsidRDefault="0039702B" w:rsidP="00743236">
            <w:pPr>
              <w:spacing w:after="0"/>
              <w:rPr>
                <w:rFonts w:cs="Tahoma"/>
                <w:sz w:val="18"/>
                <w:szCs w:val="18"/>
                <w:lang w:val="en-GB"/>
              </w:rPr>
            </w:pPr>
            <w:r w:rsidRPr="00CD2F10">
              <w:rPr>
                <w:rFonts w:cs="Tahoma"/>
                <w:sz w:val="18"/>
                <w:szCs w:val="18"/>
                <w:lang w:val="en-GB"/>
              </w:rPr>
              <w:t xml:space="preserve">City: </w:t>
            </w:r>
          </w:p>
        </w:tc>
        <w:tc>
          <w:tcPr>
            <w:tcW w:w="1314" w:type="pct"/>
            <w:gridSpan w:val="2"/>
            <w:tcBorders>
              <w:bottom w:val="single" w:sz="4" w:space="0" w:color="1F497D" w:themeColor="text2"/>
            </w:tcBorders>
          </w:tcPr>
          <w:p w:rsidR="0039702B" w:rsidRPr="00CD2F10" w:rsidRDefault="0039702B" w:rsidP="00743236">
            <w:pPr>
              <w:spacing w:after="0"/>
              <w:rPr>
                <w:rFonts w:cs="Tahoma"/>
                <w:sz w:val="18"/>
                <w:szCs w:val="18"/>
                <w:lang w:val="en-GB"/>
              </w:rPr>
            </w:pPr>
            <w:r w:rsidRPr="00CD2F10">
              <w:rPr>
                <w:rFonts w:cs="Tahoma"/>
                <w:sz w:val="18"/>
                <w:szCs w:val="18"/>
                <w:lang w:val="en-GB"/>
              </w:rPr>
              <w:t>Country:</w:t>
            </w:r>
          </w:p>
        </w:tc>
      </w:tr>
      <w:tr w:rsidR="0039702B" w:rsidRPr="00CD2F10" w:rsidTr="00F23733">
        <w:trPr>
          <w:trHeight w:val="221"/>
        </w:trPr>
        <w:tc>
          <w:tcPr>
            <w:tcW w:w="5000" w:type="pct"/>
            <w:gridSpan w:val="9"/>
            <w:tcBorders>
              <w:bottom w:val="single" w:sz="4" w:space="0" w:color="1F497D" w:themeColor="text2"/>
            </w:tcBorders>
          </w:tcPr>
          <w:p w:rsidR="0039702B" w:rsidRPr="00CD2F10" w:rsidRDefault="0039702B" w:rsidP="00743236">
            <w:pPr>
              <w:spacing w:after="0"/>
              <w:rPr>
                <w:rFonts w:cs="Tahoma"/>
                <w:sz w:val="18"/>
                <w:szCs w:val="18"/>
                <w:lang w:val="en-GB"/>
              </w:rPr>
            </w:pPr>
            <w:r w:rsidRPr="00CD2F10">
              <w:rPr>
                <w:rFonts w:cs="Tahoma"/>
                <w:sz w:val="18"/>
                <w:szCs w:val="18"/>
                <w:lang w:val="en-GB"/>
              </w:rPr>
              <w:t>Contact person:</w:t>
            </w:r>
          </w:p>
        </w:tc>
      </w:tr>
      <w:tr w:rsidR="0039702B" w:rsidRPr="00CD2F10" w:rsidTr="00F23733">
        <w:trPr>
          <w:trHeight w:val="221"/>
        </w:trPr>
        <w:tc>
          <w:tcPr>
            <w:tcW w:w="2180" w:type="pct"/>
            <w:gridSpan w:val="4"/>
            <w:tcBorders>
              <w:top w:val="single" w:sz="4" w:space="0" w:color="1F497D" w:themeColor="text2"/>
              <w:bottom w:val="single" w:sz="4" w:space="0" w:color="1F497D" w:themeColor="text2"/>
            </w:tcBorders>
          </w:tcPr>
          <w:p w:rsidR="0039702B" w:rsidRPr="00CD2F10" w:rsidRDefault="0039702B" w:rsidP="00743236">
            <w:pPr>
              <w:spacing w:after="0"/>
              <w:rPr>
                <w:rFonts w:cs="Tahoma"/>
                <w:sz w:val="18"/>
                <w:szCs w:val="18"/>
                <w:lang w:val="en-GB"/>
              </w:rPr>
            </w:pPr>
            <w:r w:rsidRPr="00CD2F10">
              <w:rPr>
                <w:rFonts w:cs="Tahoma"/>
                <w:sz w:val="18"/>
                <w:szCs w:val="18"/>
                <w:lang w:val="en-GB"/>
              </w:rPr>
              <w:t>Telephone:</w:t>
            </w:r>
          </w:p>
        </w:tc>
        <w:tc>
          <w:tcPr>
            <w:tcW w:w="2820" w:type="pct"/>
            <w:gridSpan w:val="5"/>
            <w:tcBorders>
              <w:top w:val="single" w:sz="4" w:space="0" w:color="1F497D" w:themeColor="text2"/>
              <w:bottom w:val="single" w:sz="4" w:space="0" w:color="1F497D" w:themeColor="text2"/>
            </w:tcBorders>
          </w:tcPr>
          <w:p w:rsidR="0039702B" w:rsidRPr="00CD2F10" w:rsidRDefault="0039702B" w:rsidP="00743236">
            <w:pPr>
              <w:spacing w:after="0"/>
              <w:rPr>
                <w:rFonts w:cs="Tahoma"/>
                <w:sz w:val="18"/>
                <w:szCs w:val="18"/>
                <w:lang w:val="en-GB"/>
              </w:rPr>
            </w:pPr>
            <w:r w:rsidRPr="00CD2F10">
              <w:rPr>
                <w:rFonts w:cs="Tahoma"/>
                <w:sz w:val="18"/>
                <w:szCs w:val="18"/>
                <w:lang w:val="en-GB"/>
              </w:rPr>
              <w:t>Fax:</w:t>
            </w:r>
          </w:p>
        </w:tc>
      </w:tr>
      <w:tr w:rsidR="0039702B" w:rsidRPr="00CD2F10" w:rsidTr="00F23733">
        <w:trPr>
          <w:trHeight w:val="221"/>
        </w:trPr>
        <w:tc>
          <w:tcPr>
            <w:tcW w:w="2180" w:type="pct"/>
            <w:gridSpan w:val="4"/>
            <w:tcBorders>
              <w:top w:val="single" w:sz="4" w:space="0" w:color="1F497D" w:themeColor="text2"/>
            </w:tcBorders>
          </w:tcPr>
          <w:p w:rsidR="0039702B" w:rsidRPr="00CD2F10" w:rsidRDefault="0039702B" w:rsidP="00743236">
            <w:pPr>
              <w:spacing w:after="0"/>
              <w:rPr>
                <w:rFonts w:cs="Tahoma"/>
                <w:sz w:val="18"/>
                <w:szCs w:val="18"/>
                <w:lang w:val="en-GB"/>
              </w:rPr>
            </w:pPr>
            <w:r w:rsidRPr="00CD2F10">
              <w:rPr>
                <w:rFonts w:cs="Tahoma"/>
                <w:sz w:val="18"/>
                <w:szCs w:val="18"/>
                <w:lang w:val="en-GB"/>
              </w:rPr>
              <w:t>E-mail:</w:t>
            </w:r>
          </w:p>
        </w:tc>
        <w:tc>
          <w:tcPr>
            <w:tcW w:w="2820" w:type="pct"/>
            <w:gridSpan w:val="5"/>
            <w:tcBorders>
              <w:top w:val="single" w:sz="4" w:space="0" w:color="1F497D" w:themeColor="text2"/>
            </w:tcBorders>
          </w:tcPr>
          <w:p w:rsidR="0039702B" w:rsidRPr="00CD2F10" w:rsidRDefault="0039702B" w:rsidP="00743236">
            <w:pPr>
              <w:spacing w:after="0"/>
              <w:rPr>
                <w:rFonts w:cs="Tahoma"/>
                <w:sz w:val="18"/>
                <w:szCs w:val="18"/>
                <w:lang w:val="en-GB"/>
              </w:rPr>
            </w:pPr>
            <w:r w:rsidRPr="00CD2F10">
              <w:rPr>
                <w:rFonts w:cs="Tahoma"/>
                <w:sz w:val="18"/>
                <w:szCs w:val="18"/>
                <w:lang w:val="en-GB"/>
              </w:rPr>
              <w:t>Other:</w:t>
            </w:r>
          </w:p>
        </w:tc>
      </w:tr>
      <w:tr w:rsidR="0039702B" w:rsidRPr="00CD2F10" w:rsidTr="00F23733">
        <w:trPr>
          <w:trHeight w:val="221"/>
        </w:trPr>
        <w:tc>
          <w:tcPr>
            <w:tcW w:w="5000" w:type="pct"/>
            <w:gridSpan w:val="9"/>
            <w:tcBorders>
              <w:top w:val="single" w:sz="4" w:space="0" w:color="1F497D" w:themeColor="text2"/>
            </w:tcBorders>
          </w:tcPr>
          <w:p w:rsidR="0039702B" w:rsidRPr="00CD2F10" w:rsidRDefault="0039702B">
            <w:pPr>
              <w:spacing w:after="0"/>
              <w:rPr>
                <w:rFonts w:eastAsia="Calibri" w:cs="Tahoma"/>
                <w:bCs/>
                <w:sz w:val="8"/>
                <w:szCs w:val="18"/>
                <w:lang w:val="en-GB"/>
              </w:rPr>
            </w:pPr>
          </w:p>
        </w:tc>
      </w:tr>
      <w:tr w:rsidR="0039702B" w:rsidRPr="00CD2F10" w:rsidTr="00F23733">
        <w:tblPrEx>
          <w:shd w:val="clear" w:color="auto" w:fill="C6D9F1" w:themeFill="text2" w:themeFillTint="33"/>
        </w:tblPrEx>
        <w:trPr>
          <w:trHeight w:val="19"/>
        </w:trPr>
        <w:tc>
          <w:tcPr>
            <w:tcW w:w="3932" w:type="pct"/>
            <w:gridSpan w:val="8"/>
            <w:shd w:val="clear" w:color="auto" w:fill="B4CCC1"/>
          </w:tcPr>
          <w:p w:rsidR="0039702B" w:rsidRPr="00CD2F10" w:rsidRDefault="0039702B">
            <w:pPr>
              <w:spacing w:after="0"/>
              <w:rPr>
                <w:rFonts w:cs="Tahoma"/>
                <w:b/>
                <w:sz w:val="18"/>
                <w:szCs w:val="18"/>
                <w:lang w:val="en-GB"/>
              </w:rPr>
            </w:pPr>
            <w:r w:rsidRPr="00CD2F10">
              <w:rPr>
                <w:rFonts w:cs="Tahoma"/>
                <w:b/>
                <w:sz w:val="18"/>
                <w:szCs w:val="18"/>
                <w:lang w:val="en-GB"/>
              </w:rPr>
              <w:t>Date:</w:t>
            </w:r>
          </w:p>
        </w:tc>
        <w:tc>
          <w:tcPr>
            <w:tcW w:w="1068" w:type="pct"/>
            <w:shd w:val="clear" w:color="auto" w:fill="B4CCC1"/>
          </w:tcPr>
          <w:p w:rsidR="0039702B" w:rsidRPr="00CD2F10" w:rsidRDefault="0039702B">
            <w:pPr>
              <w:spacing w:after="0"/>
              <w:rPr>
                <w:rFonts w:cs="Tahoma"/>
                <w:b/>
                <w:sz w:val="18"/>
                <w:szCs w:val="18"/>
                <w:lang w:val="en-GB"/>
              </w:rPr>
            </w:pPr>
            <w:r w:rsidRPr="00CD2F10">
              <w:rPr>
                <w:rFonts w:cs="Tahoma"/>
                <w:b/>
                <w:sz w:val="18"/>
                <w:szCs w:val="18"/>
                <w:lang w:val="en-GB"/>
              </w:rPr>
              <w:t xml:space="preserve"> Signature:</w:t>
            </w:r>
          </w:p>
        </w:tc>
      </w:tr>
    </w:tbl>
    <w:p w:rsidR="006B07D4" w:rsidRPr="00743236" w:rsidRDefault="00C01DEC" w:rsidP="00743236">
      <w:pPr>
        <w:spacing w:after="0"/>
        <w:rPr>
          <w:rFonts w:cs="Tahoma"/>
          <w:sz w:val="16"/>
          <w:szCs w:val="16"/>
          <w:lang w:val="en-GB"/>
        </w:rPr>
      </w:pPr>
      <w:r w:rsidRPr="00743236">
        <w:rPr>
          <w:rFonts w:cs="Tahoma"/>
          <w:b/>
          <w:sz w:val="16"/>
          <w:szCs w:val="16"/>
          <w:lang w:val="en-GB"/>
        </w:rPr>
        <w:t xml:space="preserve">Return to: </w:t>
      </w:r>
      <w:r w:rsidRPr="00743236">
        <w:rPr>
          <w:rFonts w:cs="Tahoma"/>
          <w:sz w:val="16"/>
          <w:szCs w:val="16"/>
          <w:lang w:val="en-GB"/>
        </w:rPr>
        <w:t xml:space="preserve">Isabelle TENAERTS at </w:t>
      </w:r>
      <w:hyperlink r:id="rId8" w:history="1">
        <w:r w:rsidRPr="00743236">
          <w:rPr>
            <w:rStyle w:val="Hyperlink"/>
            <w:rFonts w:cs="Tahoma"/>
            <w:sz w:val="16"/>
            <w:szCs w:val="16"/>
            <w:lang w:val="en-GB"/>
          </w:rPr>
          <w:t>isabelle.tenaerts@ceps.eu</w:t>
        </w:r>
      </w:hyperlink>
      <w:r w:rsidRPr="00743236">
        <w:rPr>
          <w:rFonts w:cs="Tahoma"/>
          <w:sz w:val="16"/>
          <w:szCs w:val="16"/>
          <w:lang w:val="en-GB"/>
        </w:rPr>
        <w:t xml:space="preserve">   |  Tel: +32 2 229 39 56</w:t>
      </w:r>
    </w:p>
    <w:p w:rsidR="006B07D4" w:rsidRPr="00CD2F10" w:rsidRDefault="006B07D4" w:rsidP="006B07D4">
      <w:pPr>
        <w:spacing w:after="0"/>
        <w:rPr>
          <w:rFonts w:cs="Tahoma"/>
          <w:sz w:val="6"/>
          <w:szCs w:val="6"/>
          <w:lang w:val="en-GB"/>
        </w:rPr>
      </w:pPr>
    </w:p>
    <w:p w:rsidR="006B07D4" w:rsidRPr="003B146A" w:rsidRDefault="00C01DEC" w:rsidP="006B07D4">
      <w:pPr>
        <w:tabs>
          <w:tab w:val="left" w:pos="5824"/>
        </w:tabs>
        <w:spacing w:after="0"/>
        <w:rPr>
          <w:rFonts w:cs="Tahoma"/>
          <w:sz w:val="16"/>
          <w:szCs w:val="16"/>
          <w:lang w:val="fr-FR"/>
        </w:rPr>
      </w:pPr>
      <w:r w:rsidRPr="003B146A">
        <w:rPr>
          <w:rFonts w:cs="Tahoma"/>
          <w:sz w:val="16"/>
          <w:szCs w:val="16"/>
          <w:lang w:val="fr-FR"/>
        </w:rPr>
        <w:t>Centre for European Policy Studies | 1 Place du Congrès | 1000 Brussels</w:t>
      </w:r>
    </w:p>
    <w:p w:rsidR="00656DD1" w:rsidRPr="00CD2F10" w:rsidRDefault="008110F2" w:rsidP="0039702B">
      <w:pPr>
        <w:spacing w:after="0"/>
        <w:jc w:val="left"/>
        <w:rPr>
          <w:szCs w:val="21"/>
          <w:lang w:val="en-GB"/>
        </w:rPr>
      </w:pPr>
      <w:r w:rsidRPr="003B146A">
        <w:rPr>
          <w:rFonts w:ascii="Verdana" w:hAnsi="Verdana"/>
          <w:b/>
          <w:color w:val="666666"/>
          <w:sz w:val="16"/>
          <w:szCs w:val="16"/>
          <w:lang w:val="fr-FR"/>
        </w:rPr>
        <w:br w:type="page"/>
      </w:r>
      <w:r w:rsidR="00656DD1" w:rsidRPr="00CD2F10">
        <w:rPr>
          <w:b/>
          <w:szCs w:val="21"/>
          <w:lang w:val="en-GB"/>
        </w:rPr>
        <w:lastRenderedPageBreak/>
        <w:t xml:space="preserve">The </w:t>
      </w:r>
      <w:r w:rsidR="007F7692" w:rsidRPr="006D2E9C">
        <w:rPr>
          <w:b/>
          <w:szCs w:val="21"/>
          <w:lang w:val="en-GB"/>
        </w:rPr>
        <w:t xml:space="preserve">CEPS </w:t>
      </w:r>
      <w:r w:rsidR="00656DD1" w:rsidRPr="006D2E9C">
        <w:rPr>
          <w:b/>
          <w:szCs w:val="21"/>
          <w:lang w:val="en-GB"/>
        </w:rPr>
        <w:t>Financial</w:t>
      </w:r>
      <w:r w:rsidR="00CD2F10" w:rsidRPr="006D2E9C">
        <w:rPr>
          <w:b/>
          <w:szCs w:val="21"/>
          <w:lang w:val="en-GB"/>
        </w:rPr>
        <w:t xml:space="preserve"> </w:t>
      </w:r>
      <w:r w:rsidR="00656DD1" w:rsidRPr="006D2E9C">
        <w:rPr>
          <w:b/>
          <w:szCs w:val="21"/>
          <w:lang w:val="en-GB"/>
        </w:rPr>
        <w:t>Institutions Unit’s</w:t>
      </w:r>
      <w:r w:rsidR="00656DD1" w:rsidRPr="00CD2F10">
        <w:rPr>
          <w:b/>
          <w:szCs w:val="21"/>
          <w:lang w:val="en-GB"/>
        </w:rPr>
        <w:t xml:space="preserve"> Research Program</w:t>
      </w:r>
      <w:r w:rsidR="00CD2F10" w:rsidRPr="00CD2F10">
        <w:rPr>
          <w:b/>
          <w:szCs w:val="21"/>
          <w:lang w:val="en-GB"/>
        </w:rPr>
        <w:t>me</w:t>
      </w:r>
      <w:r w:rsidR="00656DD1" w:rsidRPr="00CD2F10">
        <w:rPr>
          <w:szCs w:val="21"/>
          <w:lang w:val="en-GB"/>
        </w:rPr>
        <w:t xml:space="preserve"> </w:t>
      </w:r>
      <w:r w:rsidR="00CD2F10" w:rsidRPr="00CD2F10">
        <w:rPr>
          <w:szCs w:val="21"/>
          <w:lang w:val="en-GB"/>
        </w:rPr>
        <w:t>strives</w:t>
      </w:r>
      <w:r w:rsidR="00656DD1" w:rsidRPr="00CD2F10">
        <w:rPr>
          <w:szCs w:val="21"/>
          <w:lang w:val="en-GB"/>
        </w:rPr>
        <w:t xml:space="preserve"> to examine:</w:t>
      </w:r>
    </w:p>
    <w:p w:rsidR="00656DD1" w:rsidRPr="00CD2F10" w:rsidRDefault="00656DD1" w:rsidP="000B58BD">
      <w:pPr>
        <w:numPr>
          <w:ilvl w:val="0"/>
          <w:numId w:val="7"/>
        </w:numPr>
        <w:tabs>
          <w:tab w:val="clear" w:pos="720"/>
        </w:tabs>
        <w:ind w:left="454" w:hanging="454"/>
        <w:rPr>
          <w:szCs w:val="21"/>
          <w:lang w:val="en-GB"/>
        </w:rPr>
      </w:pPr>
      <w:r w:rsidRPr="00CD2F10">
        <w:rPr>
          <w:rStyle w:val="Strong"/>
          <w:szCs w:val="21"/>
          <w:lang w:val="en-GB"/>
        </w:rPr>
        <w:t>The regulation, supervision and taxation of financial institutions and financial stability</w:t>
      </w:r>
      <w:r w:rsidRPr="00CD2F10">
        <w:rPr>
          <w:szCs w:val="21"/>
          <w:lang w:val="en-GB"/>
        </w:rPr>
        <w:t xml:space="preserve"> and its potential macro and micro economic consequences. The 2007/08 financial crisis provides an exceptional context </w:t>
      </w:r>
      <w:r w:rsidR="000B58BD">
        <w:rPr>
          <w:szCs w:val="21"/>
          <w:lang w:val="en-GB"/>
        </w:rPr>
        <w:t xml:space="preserve">in which </w:t>
      </w:r>
      <w:r w:rsidRPr="00CD2F10">
        <w:rPr>
          <w:szCs w:val="21"/>
          <w:lang w:val="en-GB"/>
        </w:rPr>
        <w:t>to study the future of financial regulation, supervision and crisis management for European and non-European countries;</w:t>
      </w:r>
    </w:p>
    <w:p w:rsidR="00656DD1" w:rsidRPr="00CD2F10" w:rsidRDefault="00656DD1" w:rsidP="000B58BD">
      <w:pPr>
        <w:numPr>
          <w:ilvl w:val="0"/>
          <w:numId w:val="7"/>
        </w:numPr>
        <w:tabs>
          <w:tab w:val="clear" w:pos="720"/>
        </w:tabs>
        <w:ind w:left="454" w:hanging="454"/>
        <w:rPr>
          <w:szCs w:val="21"/>
          <w:lang w:val="en-GB"/>
        </w:rPr>
      </w:pPr>
      <w:r w:rsidRPr="00CD2F10">
        <w:rPr>
          <w:rStyle w:val="Strong"/>
          <w:szCs w:val="21"/>
          <w:lang w:val="en-GB"/>
        </w:rPr>
        <w:t>The size, diversity, corporate governance and innovation in the financial sector in Europe</w:t>
      </w:r>
      <w:r w:rsidRPr="00CD2F10">
        <w:rPr>
          <w:szCs w:val="21"/>
          <w:lang w:val="en-GB"/>
        </w:rPr>
        <w:t xml:space="preserve">, in particular how size, diversity and innovation are to be assessed, how they </w:t>
      </w:r>
      <w:r w:rsidR="002E36F2">
        <w:rPr>
          <w:szCs w:val="21"/>
          <w:lang w:val="en-GB"/>
        </w:rPr>
        <w:t xml:space="preserve">are </w:t>
      </w:r>
      <w:r w:rsidRPr="00CD2F10">
        <w:rPr>
          <w:szCs w:val="21"/>
          <w:lang w:val="en-GB"/>
        </w:rPr>
        <w:t xml:space="preserve">determined and what are the relationships </w:t>
      </w:r>
      <w:r w:rsidR="000B58BD">
        <w:rPr>
          <w:szCs w:val="21"/>
          <w:lang w:val="en-GB"/>
        </w:rPr>
        <w:t>between</w:t>
      </w:r>
      <w:r w:rsidRPr="00CD2F10">
        <w:rPr>
          <w:szCs w:val="21"/>
          <w:lang w:val="en-GB"/>
        </w:rPr>
        <w:t xml:space="preserve"> performance, competition, financial stability and social cohesion in the context of European financial integration and </w:t>
      </w:r>
      <w:r w:rsidR="000B58BD">
        <w:rPr>
          <w:szCs w:val="21"/>
          <w:lang w:val="en-GB"/>
        </w:rPr>
        <w:t>the</w:t>
      </w:r>
      <w:r w:rsidRPr="00CD2F10">
        <w:rPr>
          <w:szCs w:val="21"/>
          <w:lang w:val="en-GB"/>
        </w:rPr>
        <w:t xml:space="preserve"> future for corporate governance;</w:t>
      </w:r>
    </w:p>
    <w:p w:rsidR="00656DD1" w:rsidRPr="00CD2F10" w:rsidRDefault="00656DD1" w:rsidP="000B58BD">
      <w:pPr>
        <w:numPr>
          <w:ilvl w:val="0"/>
          <w:numId w:val="7"/>
        </w:numPr>
        <w:tabs>
          <w:tab w:val="clear" w:pos="720"/>
        </w:tabs>
        <w:ind w:left="454" w:hanging="454"/>
        <w:rPr>
          <w:szCs w:val="21"/>
          <w:lang w:val="en-GB"/>
        </w:rPr>
      </w:pPr>
      <w:r w:rsidRPr="00CD2F10">
        <w:rPr>
          <w:rStyle w:val="Strong"/>
          <w:szCs w:val="21"/>
          <w:lang w:val="en-GB"/>
        </w:rPr>
        <w:t>The internal market for financial services</w:t>
      </w:r>
      <w:r w:rsidR="000B58BD">
        <w:rPr>
          <w:rStyle w:val="Strong"/>
          <w:szCs w:val="21"/>
          <w:lang w:val="en-GB"/>
        </w:rPr>
        <w:t>,</w:t>
      </w:r>
      <w:r w:rsidRPr="00CD2F10">
        <w:rPr>
          <w:rStyle w:val="Strong"/>
          <w:szCs w:val="21"/>
          <w:lang w:val="en-GB"/>
        </w:rPr>
        <w:t xml:space="preserve"> </w:t>
      </w:r>
      <w:r w:rsidRPr="00CD2F10">
        <w:rPr>
          <w:szCs w:val="21"/>
          <w:lang w:val="en-GB"/>
        </w:rPr>
        <w:t>with a particular focus on the role of financia</w:t>
      </w:r>
      <w:r w:rsidR="000B58BD">
        <w:rPr>
          <w:szCs w:val="21"/>
          <w:lang w:val="en-GB"/>
        </w:rPr>
        <w:t>l institutions and policy-</w:t>
      </w:r>
      <w:r w:rsidRPr="00CD2F10">
        <w:rPr>
          <w:szCs w:val="21"/>
          <w:lang w:val="en-GB"/>
        </w:rPr>
        <w:t>makers to achieve a single</w:t>
      </w:r>
      <w:r w:rsidR="002E36F2">
        <w:rPr>
          <w:szCs w:val="21"/>
          <w:lang w:val="en-GB"/>
        </w:rPr>
        <w:t>,</w:t>
      </w:r>
      <w:r w:rsidRPr="00CD2F10">
        <w:rPr>
          <w:szCs w:val="21"/>
          <w:lang w:val="en-GB"/>
        </w:rPr>
        <w:t xml:space="preserve"> secure, competitive, stable and inclusive market for retail and wholesale financial services;</w:t>
      </w:r>
    </w:p>
    <w:p w:rsidR="007F7692" w:rsidRPr="00CD2F10" w:rsidRDefault="00656DD1" w:rsidP="000B58BD">
      <w:pPr>
        <w:numPr>
          <w:ilvl w:val="0"/>
          <w:numId w:val="7"/>
        </w:numPr>
        <w:tabs>
          <w:tab w:val="clear" w:pos="720"/>
        </w:tabs>
        <w:ind w:left="454" w:hanging="454"/>
        <w:rPr>
          <w:szCs w:val="21"/>
          <w:lang w:val="en-GB"/>
        </w:rPr>
      </w:pPr>
      <w:r w:rsidRPr="00CD2F10">
        <w:rPr>
          <w:rStyle w:val="Strong"/>
          <w:szCs w:val="21"/>
          <w:lang w:val="en-GB"/>
        </w:rPr>
        <w:t xml:space="preserve">The evolving position of small/regional/international financial centres in a global </w:t>
      </w:r>
      <w:r w:rsidR="001E3BE8">
        <w:rPr>
          <w:rStyle w:val="Strong"/>
          <w:szCs w:val="21"/>
          <w:lang w:val="en-GB"/>
        </w:rPr>
        <w:t>context</w:t>
      </w:r>
      <w:r w:rsidRPr="00CD2F10">
        <w:rPr>
          <w:rStyle w:val="Strong"/>
          <w:szCs w:val="21"/>
          <w:lang w:val="en-GB"/>
        </w:rPr>
        <w:t xml:space="preserve"> </w:t>
      </w:r>
      <w:r w:rsidRPr="00CD2F10">
        <w:rPr>
          <w:szCs w:val="21"/>
          <w:lang w:val="en-GB"/>
        </w:rPr>
        <w:t>by assessing the strengths, weaknesses, opportunities and challenges of European and non-European financial centres in light of new regulatory, tax and financial developments worldwide.</w:t>
      </w:r>
    </w:p>
    <w:p w:rsidR="00656DD1" w:rsidRPr="00CD2F10" w:rsidRDefault="00656DD1" w:rsidP="00CD2F10">
      <w:pPr>
        <w:rPr>
          <w:szCs w:val="21"/>
          <w:lang w:val="en-GB"/>
        </w:rPr>
      </w:pPr>
      <w:r w:rsidRPr="00CD2F10">
        <w:rPr>
          <w:szCs w:val="21"/>
          <w:lang w:val="en-GB"/>
        </w:rPr>
        <w:t xml:space="preserve">The priority of the unit is to continue </w:t>
      </w:r>
      <w:r w:rsidR="001E3BE8">
        <w:rPr>
          <w:szCs w:val="21"/>
          <w:lang w:val="en-GB"/>
        </w:rPr>
        <w:t xml:space="preserve">to </w:t>
      </w:r>
      <w:r w:rsidRPr="00CD2F10">
        <w:rPr>
          <w:szCs w:val="21"/>
          <w:lang w:val="en-GB"/>
        </w:rPr>
        <w:t>contrib</w:t>
      </w:r>
      <w:r w:rsidR="000B58BD">
        <w:rPr>
          <w:szCs w:val="21"/>
          <w:lang w:val="en-GB"/>
        </w:rPr>
        <w:t>ut</w:t>
      </w:r>
      <w:r w:rsidR="001E3BE8">
        <w:rPr>
          <w:szCs w:val="21"/>
          <w:lang w:val="en-GB"/>
        </w:rPr>
        <w:t>e</w:t>
      </w:r>
      <w:r w:rsidR="000B58BD">
        <w:rPr>
          <w:szCs w:val="21"/>
          <w:lang w:val="en-GB"/>
        </w:rPr>
        <w:t xml:space="preserve"> to the policy debate post-</w:t>
      </w:r>
      <w:r w:rsidRPr="00CD2F10">
        <w:rPr>
          <w:szCs w:val="21"/>
          <w:lang w:val="en-GB"/>
        </w:rPr>
        <w:t>financial crisis, particularly</w:t>
      </w:r>
      <w:r w:rsidR="001E3BE8">
        <w:rPr>
          <w:szCs w:val="21"/>
          <w:lang w:val="en-GB"/>
        </w:rPr>
        <w:t xml:space="preserve"> by</w:t>
      </w:r>
      <w:r w:rsidRPr="00CD2F10">
        <w:rPr>
          <w:szCs w:val="21"/>
          <w:lang w:val="en-GB"/>
        </w:rPr>
        <w:t>:</w:t>
      </w:r>
    </w:p>
    <w:p w:rsidR="00656DD1" w:rsidRPr="00CD2F10" w:rsidRDefault="00656DD1" w:rsidP="000B58BD">
      <w:pPr>
        <w:numPr>
          <w:ilvl w:val="0"/>
          <w:numId w:val="8"/>
        </w:numPr>
        <w:tabs>
          <w:tab w:val="clear" w:pos="720"/>
        </w:tabs>
        <w:ind w:left="454" w:hanging="454"/>
        <w:rPr>
          <w:szCs w:val="21"/>
          <w:lang w:val="en-GB"/>
        </w:rPr>
      </w:pPr>
      <w:r w:rsidRPr="00CD2F10">
        <w:rPr>
          <w:szCs w:val="21"/>
          <w:lang w:val="en-GB"/>
        </w:rPr>
        <w:t xml:space="preserve">Monitoring market developments, regulatory and institutional trends and their consequences </w:t>
      </w:r>
      <w:r w:rsidR="000B58BD">
        <w:rPr>
          <w:szCs w:val="21"/>
          <w:lang w:val="en-GB"/>
        </w:rPr>
        <w:t>for the</w:t>
      </w:r>
      <w:r w:rsidRPr="00CD2F10">
        <w:rPr>
          <w:szCs w:val="21"/>
          <w:lang w:val="en-GB"/>
        </w:rPr>
        <w:t xml:space="preserve"> EU economy and its competitive position </w:t>
      </w:r>
      <w:r w:rsidR="000B58BD">
        <w:rPr>
          <w:szCs w:val="21"/>
          <w:lang w:val="en-GB"/>
        </w:rPr>
        <w:t>in the world</w:t>
      </w:r>
      <w:r w:rsidRPr="00CD2F10">
        <w:rPr>
          <w:szCs w:val="21"/>
          <w:lang w:val="en-GB"/>
        </w:rPr>
        <w:t>;</w:t>
      </w:r>
    </w:p>
    <w:p w:rsidR="00656DD1" w:rsidRPr="00CD2F10" w:rsidRDefault="00656DD1" w:rsidP="000B58BD">
      <w:pPr>
        <w:numPr>
          <w:ilvl w:val="0"/>
          <w:numId w:val="8"/>
        </w:numPr>
        <w:tabs>
          <w:tab w:val="clear" w:pos="720"/>
        </w:tabs>
        <w:ind w:left="454" w:hanging="454"/>
        <w:rPr>
          <w:szCs w:val="21"/>
          <w:lang w:val="en-GB"/>
        </w:rPr>
      </w:pPr>
      <w:r w:rsidRPr="00CD2F10">
        <w:rPr>
          <w:szCs w:val="21"/>
          <w:lang w:val="en-GB"/>
        </w:rPr>
        <w:t>Identifying challenges to an integrated European financial market and recommending steps to overcome these hurdles;</w:t>
      </w:r>
    </w:p>
    <w:p w:rsidR="00656DD1" w:rsidRPr="00CD2F10" w:rsidRDefault="00656DD1" w:rsidP="000B58BD">
      <w:pPr>
        <w:numPr>
          <w:ilvl w:val="0"/>
          <w:numId w:val="8"/>
        </w:numPr>
        <w:tabs>
          <w:tab w:val="clear" w:pos="720"/>
        </w:tabs>
        <w:ind w:left="454" w:hanging="454"/>
        <w:rPr>
          <w:szCs w:val="21"/>
          <w:lang w:val="en-GB"/>
        </w:rPr>
      </w:pPr>
      <w:r w:rsidRPr="00CD2F10">
        <w:rPr>
          <w:szCs w:val="21"/>
          <w:lang w:val="en-GB"/>
        </w:rPr>
        <w:t>Assessing the evolving role of financial systems to better serve economic, social and environmental objectives</w:t>
      </w:r>
      <w:r w:rsidR="001E3BE8">
        <w:rPr>
          <w:szCs w:val="21"/>
          <w:lang w:val="en-GB"/>
        </w:rPr>
        <w:t>,</w:t>
      </w:r>
      <w:r w:rsidRPr="00CD2F10">
        <w:rPr>
          <w:szCs w:val="21"/>
          <w:lang w:val="en-GB"/>
        </w:rPr>
        <w:t xml:space="preserve"> with particular focus on inclusion, diversity and sustainable finance;</w:t>
      </w:r>
    </w:p>
    <w:p w:rsidR="00656DD1" w:rsidRPr="00CD2F10" w:rsidRDefault="00656DD1" w:rsidP="000B58BD">
      <w:pPr>
        <w:numPr>
          <w:ilvl w:val="0"/>
          <w:numId w:val="8"/>
        </w:numPr>
        <w:tabs>
          <w:tab w:val="clear" w:pos="720"/>
        </w:tabs>
        <w:ind w:left="454" w:hanging="454"/>
        <w:rPr>
          <w:szCs w:val="21"/>
          <w:lang w:val="en-GB"/>
        </w:rPr>
      </w:pPr>
      <w:r w:rsidRPr="00CD2F10">
        <w:rPr>
          <w:szCs w:val="21"/>
          <w:lang w:val="en-GB"/>
        </w:rPr>
        <w:t>Exploring regional linkages and interactions with non-EU financial markets and investigating current challenges and future opportunities.</w:t>
      </w:r>
    </w:p>
    <w:p w:rsidR="00656DD1" w:rsidRPr="00CD2F10" w:rsidRDefault="00656DD1" w:rsidP="00CD2F10">
      <w:pPr>
        <w:pStyle w:val="Heading6"/>
        <w:spacing w:before="0" w:beforeAutospacing="0" w:after="120" w:afterAutospacing="0"/>
        <w:rPr>
          <w:rFonts w:ascii="Book Antiqua" w:eastAsia="Calibri" w:hAnsi="Book Antiqua"/>
          <w:b w:val="0"/>
          <w:bCs w:val="0"/>
          <w:color w:val="auto"/>
          <w:sz w:val="21"/>
          <w:szCs w:val="21"/>
          <w:lang w:val="en-GB"/>
        </w:rPr>
      </w:pPr>
      <w:r w:rsidRPr="00CD2F10">
        <w:rPr>
          <w:rFonts w:ascii="Book Antiqua" w:eastAsia="Calibri" w:hAnsi="Book Antiqua"/>
          <w:b w:val="0"/>
          <w:bCs w:val="0"/>
          <w:color w:val="auto"/>
          <w:sz w:val="21"/>
          <w:szCs w:val="21"/>
          <w:lang w:val="en-GB"/>
        </w:rPr>
        <w:t xml:space="preserve">In 2012, </w:t>
      </w:r>
      <w:r w:rsidR="000B58BD" w:rsidRPr="006D2E9C">
        <w:rPr>
          <w:rFonts w:ascii="Book Antiqua" w:eastAsia="Calibri" w:hAnsi="Book Antiqua"/>
          <w:b w:val="0"/>
          <w:bCs w:val="0"/>
          <w:color w:val="auto"/>
          <w:sz w:val="21"/>
          <w:szCs w:val="21"/>
          <w:lang w:val="en-GB"/>
        </w:rPr>
        <w:t xml:space="preserve">the </w:t>
      </w:r>
      <w:r w:rsidRPr="006D2E9C">
        <w:rPr>
          <w:rFonts w:ascii="Book Antiqua" w:eastAsia="Calibri" w:hAnsi="Book Antiqua"/>
          <w:b w:val="0"/>
          <w:bCs w:val="0"/>
          <w:color w:val="auto"/>
          <w:sz w:val="21"/>
          <w:szCs w:val="21"/>
          <w:lang w:val="en-GB"/>
        </w:rPr>
        <w:t>FIU</w:t>
      </w:r>
      <w:r w:rsidRPr="00CD2F10">
        <w:rPr>
          <w:rFonts w:ascii="Book Antiqua" w:eastAsia="Calibri" w:hAnsi="Book Antiqua"/>
          <w:b w:val="0"/>
          <w:bCs w:val="0"/>
          <w:color w:val="auto"/>
          <w:sz w:val="21"/>
          <w:szCs w:val="21"/>
          <w:lang w:val="en-GB"/>
        </w:rPr>
        <w:t xml:space="preserve"> </w:t>
      </w:r>
      <w:r w:rsidR="001E3BE8">
        <w:rPr>
          <w:rFonts w:ascii="Book Antiqua" w:eastAsia="Calibri" w:hAnsi="Book Antiqua"/>
          <w:b w:val="0"/>
          <w:bCs w:val="0"/>
          <w:color w:val="auto"/>
          <w:sz w:val="21"/>
          <w:szCs w:val="21"/>
          <w:lang w:val="en-GB"/>
        </w:rPr>
        <w:t xml:space="preserve">is </w:t>
      </w:r>
      <w:r w:rsidRPr="00CD2F10">
        <w:rPr>
          <w:rFonts w:ascii="Book Antiqua" w:eastAsia="Calibri" w:hAnsi="Book Antiqua"/>
          <w:b w:val="0"/>
          <w:bCs w:val="0"/>
          <w:color w:val="auto"/>
          <w:sz w:val="21"/>
          <w:szCs w:val="21"/>
          <w:lang w:val="en-GB"/>
        </w:rPr>
        <w:t>launch</w:t>
      </w:r>
      <w:r w:rsidR="001E3BE8">
        <w:rPr>
          <w:rFonts w:ascii="Book Antiqua" w:eastAsia="Calibri" w:hAnsi="Book Antiqua"/>
          <w:b w:val="0"/>
          <w:bCs w:val="0"/>
          <w:color w:val="auto"/>
          <w:sz w:val="21"/>
          <w:szCs w:val="21"/>
          <w:lang w:val="en-GB"/>
        </w:rPr>
        <w:t>ing</w:t>
      </w:r>
      <w:r w:rsidRPr="00CD2F10">
        <w:rPr>
          <w:rFonts w:ascii="Book Antiqua" w:eastAsia="Calibri" w:hAnsi="Book Antiqua"/>
          <w:b w:val="0"/>
          <w:bCs w:val="0"/>
          <w:color w:val="auto"/>
          <w:sz w:val="21"/>
          <w:szCs w:val="21"/>
          <w:lang w:val="en-GB"/>
        </w:rPr>
        <w:t xml:space="preserve"> three activities: </w:t>
      </w:r>
    </w:p>
    <w:p w:rsidR="00656DD1" w:rsidRPr="00CD2F10" w:rsidRDefault="00656DD1" w:rsidP="000B58BD">
      <w:pPr>
        <w:numPr>
          <w:ilvl w:val="0"/>
          <w:numId w:val="8"/>
        </w:numPr>
        <w:tabs>
          <w:tab w:val="clear" w:pos="720"/>
        </w:tabs>
        <w:ind w:left="454" w:hanging="454"/>
        <w:rPr>
          <w:szCs w:val="21"/>
          <w:lang w:val="en-GB"/>
        </w:rPr>
      </w:pPr>
      <w:r w:rsidRPr="00CD2F10">
        <w:rPr>
          <w:b/>
          <w:szCs w:val="21"/>
          <w:lang w:val="en-GB"/>
        </w:rPr>
        <w:t>A series of high-level roundtables</w:t>
      </w:r>
      <w:r w:rsidRPr="00CD2F10">
        <w:rPr>
          <w:szCs w:val="21"/>
          <w:lang w:val="en-GB"/>
        </w:rPr>
        <w:t xml:space="preserve"> aimed at debating the future of financial regulation and crisis management in the EU;</w:t>
      </w:r>
    </w:p>
    <w:p w:rsidR="00656DD1" w:rsidRPr="00CD2F10" w:rsidRDefault="00656DD1" w:rsidP="000B58BD">
      <w:pPr>
        <w:numPr>
          <w:ilvl w:val="0"/>
          <w:numId w:val="8"/>
        </w:numPr>
        <w:tabs>
          <w:tab w:val="clear" w:pos="720"/>
        </w:tabs>
        <w:ind w:left="454" w:hanging="454"/>
        <w:rPr>
          <w:szCs w:val="21"/>
          <w:lang w:val="en-GB"/>
        </w:rPr>
      </w:pPr>
      <w:r w:rsidRPr="00CD2F10">
        <w:rPr>
          <w:b/>
          <w:szCs w:val="21"/>
          <w:lang w:val="en-GB"/>
        </w:rPr>
        <w:t>A regular monitoring exercise of banking business models in Europe</w:t>
      </w:r>
      <w:r w:rsidRPr="00CD2F10">
        <w:rPr>
          <w:szCs w:val="21"/>
          <w:lang w:val="en-GB"/>
        </w:rPr>
        <w:t xml:space="preserve">. The Banking Business Model Monitor (BM) will examine the risk/performance, governance, competition, stability and transparency of EU banks; and </w:t>
      </w:r>
    </w:p>
    <w:p w:rsidR="00656DD1" w:rsidRDefault="00656DD1" w:rsidP="000B58BD">
      <w:pPr>
        <w:numPr>
          <w:ilvl w:val="0"/>
          <w:numId w:val="8"/>
        </w:numPr>
        <w:tabs>
          <w:tab w:val="clear" w:pos="720"/>
        </w:tabs>
        <w:ind w:left="454" w:hanging="454"/>
        <w:rPr>
          <w:szCs w:val="21"/>
          <w:lang w:val="en-GB"/>
        </w:rPr>
      </w:pPr>
      <w:r w:rsidRPr="00CD2F10">
        <w:rPr>
          <w:b/>
          <w:szCs w:val="21"/>
          <w:lang w:val="en-GB"/>
        </w:rPr>
        <w:t>A statistical package on EU banks and executive compensation</w:t>
      </w:r>
      <w:r w:rsidRPr="00CD2F10">
        <w:rPr>
          <w:szCs w:val="21"/>
          <w:lang w:val="en-GB"/>
        </w:rPr>
        <w:t xml:space="preserve">. The package will provide statistical analysis (e.g. on activities, performance, risks, executive compensation…) and case studies </w:t>
      </w:r>
      <w:r w:rsidR="000B58BD">
        <w:rPr>
          <w:szCs w:val="21"/>
          <w:lang w:val="en-GB"/>
        </w:rPr>
        <w:t>featuring</w:t>
      </w:r>
      <w:r w:rsidRPr="00CD2F10">
        <w:rPr>
          <w:szCs w:val="21"/>
          <w:lang w:val="en-GB"/>
        </w:rPr>
        <w:t xml:space="preserve"> EU banks. </w:t>
      </w:r>
    </w:p>
    <w:p w:rsidR="00592B64" w:rsidRDefault="00592B64" w:rsidP="00592B64">
      <w:pPr>
        <w:ind w:left="454"/>
        <w:jc w:val="center"/>
        <w:rPr>
          <w:b/>
          <w:szCs w:val="21"/>
          <w:lang w:val="en-GB"/>
        </w:rPr>
      </w:pPr>
      <w:r w:rsidRPr="00CD2F10">
        <w:rPr>
          <w:b/>
          <w:szCs w:val="21"/>
          <w:lang w:val="en-GB"/>
        </w:rPr>
        <w:t xml:space="preserve">The </w:t>
      </w:r>
      <w:r w:rsidRPr="006D2E9C">
        <w:rPr>
          <w:b/>
          <w:szCs w:val="21"/>
          <w:lang w:val="en-GB"/>
        </w:rPr>
        <w:t>CEPS Financial Institutions Unit’s</w:t>
      </w:r>
      <w:r w:rsidRPr="00CD2F10">
        <w:rPr>
          <w:b/>
          <w:szCs w:val="21"/>
          <w:lang w:val="en-GB"/>
        </w:rPr>
        <w:t xml:space="preserve"> </w:t>
      </w:r>
      <w:r>
        <w:rPr>
          <w:b/>
          <w:szCs w:val="21"/>
          <w:lang w:val="en-GB"/>
        </w:rPr>
        <w:t>Researchers:</w:t>
      </w:r>
    </w:p>
    <w:p w:rsidR="00592B64" w:rsidRDefault="00592B64" w:rsidP="00592B64">
      <w:pPr>
        <w:ind w:left="454"/>
        <w:jc w:val="center"/>
        <w:rPr>
          <w:szCs w:val="21"/>
          <w:lang w:val="en-GB"/>
        </w:rPr>
      </w:pPr>
      <w:r>
        <w:rPr>
          <w:szCs w:val="21"/>
          <w:lang w:val="en-GB"/>
        </w:rPr>
        <w:t>Dr. Rym Ayadi, Senior Research Fellow, Head of Unit, CEPS</w:t>
      </w:r>
    </w:p>
    <w:p w:rsidR="00592B64" w:rsidRDefault="00592B64" w:rsidP="00592B64">
      <w:pPr>
        <w:ind w:left="454"/>
        <w:jc w:val="center"/>
        <w:rPr>
          <w:szCs w:val="21"/>
          <w:lang w:val="en-GB"/>
        </w:rPr>
      </w:pPr>
      <w:r>
        <w:rPr>
          <w:szCs w:val="21"/>
          <w:lang w:val="en-GB"/>
        </w:rPr>
        <w:t>Dr. Emrah Arbak, Researcher, CEPS</w:t>
      </w:r>
    </w:p>
    <w:p w:rsidR="00592B64" w:rsidRPr="00592B64" w:rsidRDefault="00592B64" w:rsidP="00592B64">
      <w:pPr>
        <w:ind w:left="454"/>
        <w:jc w:val="center"/>
        <w:rPr>
          <w:szCs w:val="21"/>
          <w:lang w:val="en-GB"/>
        </w:rPr>
      </w:pPr>
      <w:r>
        <w:rPr>
          <w:szCs w:val="21"/>
          <w:lang w:val="en-GB"/>
        </w:rPr>
        <w:t>Willem Pieter De Groen, Research Assistant, CEPS</w:t>
      </w:r>
    </w:p>
    <w:p w:rsidR="00592B64" w:rsidRDefault="00592B64" w:rsidP="00592B64">
      <w:pPr>
        <w:ind w:left="454"/>
        <w:jc w:val="center"/>
        <w:rPr>
          <w:b/>
          <w:szCs w:val="21"/>
          <w:lang w:val="en-GB"/>
        </w:rPr>
      </w:pPr>
      <w:r w:rsidRPr="00592B64">
        <w:rPr>
          <w:b/>
          <w:szCs w:val="21"/>
          <w:lang w:val="en-GB"/>
        </w:rPr>
        <w:t>Associate Scholars</w:t>
      </w:r>
    </w:p>
    <w:p w:rsidR="00592B64" w:rsidRDefault="00592B64" w:rsidP="00592B64">
      <w:pPr>
        <w:ind w:left="454"/>
        <w:jc w:val="center"/>
        <w:rPr>
          <w:szCs w:val="21"/>
          <w:lang w:val="en-GB"/>
        </w:rPr>
      </w:pPr>
      <w:r w:rsidRPr="00592B64">
        <w:rPr>
          <w:szCs w:val="21"/>
          <w:lang w:val="en-GB"/>
        </w:rPr>
        <w:t xml:space="preserve">Prof. David T. Llewellyn, Loughborough University, UK </w:t>
      </w:r>
    </w:p>
    <w:p w:rsidR="00592B64" w:rsidRDefault="00592B64" w:rsidP="00592B64">
      <w:pPr>
        <w:ind w:left="454"/>
        <w:jc w:val="center"/>
        <w:rPr>
          <w:szCs w:val="21"/>
          <w:lang w:val="en-GB"/>
        </w:rPr>
      </w:pPr>
      <w:r>
        <w:rPr>
          <w:szCs w:val="21"/>
          <w:lang w:val="en-GB"/>
        </w:rPr>
        <w:t xml:space="preserve">Prof. Reinhard H. Schmidt, Frankfurt University, Germany </w:t>
      </w:r>
    </w:p>
    <w:p w:rsidR="00592B64" w:rsidRPr="00592B64" w:rsidRDefault="00592B64" w:rsidP="00592B64">
      <w:pPr>
        <w:ind w:left="454"/>
        <w:jc w:val="center"/>
        <w:rPr>
          <w:b/>
          <w:szCs w:val="21"/>
          <w:lang w:val="en-GB"/>
        </w:rPr>
      </w:pPr>
    </w:p>
    <w:sectPr w:rsidR="00592B64" w:rsidRPr="00592B64" w:rsidSect="00CD2F10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077" w:right="1134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67EE" w:rsidRDefault="007A67EE" w:rsidP="00B37589">
      <w:pPr>
        <w:spacing w:after="0"/>
      </w:pPr>
      <w:r>
        <w:separator/>
      </w:r>
    </w:p>
  </w:endnote>
  <w:endnote w:type="continuationSeparator" w:id="0">
    <w:p w:rsidR="007A67EE" w:rsidRDefault="007A67EE" w:rsidP="00B37589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67EE" w:rsidRDefault="007A67EE">
    <w:pPr>
      <w:pStyle w:val="Footer"/>
      <w:jc w:val="center"/>
    </w:pPr>
  </w:p>
  <w:p w:rsidR="007A67EE" w:rsidRDefault="00F86C98">
    <w:pPr>
      <w:pStyle w:val="Footer"/>
      <w:jc w:val="center"/>
    </w:pPr>
    <w:fldSimple w:instr=" PAGE   \* MERGEFORMAT ">
      <w:r w:rsidR="00234789">
        <w:rPr>
          <w:noProof/>
        </w:rPr>
        <w:t>2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67EE" w:rsidRDefault="00F86C98" w:rsidP="00624756">
    <w:pPr>
      <w:pStyle w:val="Footer"/>
      <w:jc w:val="center"/>
    </w:pPr>
    <w:fldSimple w:instr=" PAGE   \* MERGEFORMAT ">
      <w:r w:rsidR="00234789"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67EE" w:rsidRDefault="007A67EE" w:rsidP="00B37589">
      <w:pPr>
        <w:spacing w:after="0"/>
      </w:pPr>
      <w:r>
        <w:separator/>
      </w:r>
    </w:p>
  </w:footnote>
  <w:footnote w:type="continuationSeparator" w:id="0">
    <w:p w:rsidR="007A67EE" w:rsidRDefault="007A67EE" w:rsidP="00B37589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67EE" w:rsidRDefault="007A67EE" w:rsidP="00CD2F10">
    <w:pPr>
      <w:spacing w:after="360"/>
      <w:jc w:val="center"/>
    </w:pPr>
    <w:r w:rsidRPr="00CD2F10">
      <w:rPr>
        <w:noProof/>
      </w:rPr>
      <w:drawing>
        <wp:inline distT="0" distB="0" distL="0" distR="0">
          <wp:extent cx="5950429" cy="572479"/>
          <wp:effectExtent l="19050" t="0" r="0" b="0"/>
          <wp:docPr id="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38487" b="36436"/>
                  <a:stretch>
                    <a:fillRect/>
                  </a:stretch>
                </pic:blipFill>
                <pic:spPr bwMode="auto">
                  <a:xfrm>
                    <a:off x="0" y="0"/>
                    <a:ext cx="5950429" cy="57247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67EE" w:rsidRDefault="007A67EE" w:rsidP="00CD2F10">
    <w:pPr>
      <w:spacing w:after="0"/>
      <w:jc w:val="center"/>
      <w:rPr>
        <w:rFonts w:ascii="Georgia" w:hAnsi="Georgia" w:cs="Georgia"/>
        <w:b/>
        <w:color w:val="4E7161"/>
        <w:sz w:val="48"/>
        <w:szCs w:val="48"/>
        <w:lang w:val="en-GB"/>
      </w:rPr>
    </w:pPr>
    <w:r w:rsidRPr="00324032">
      <w:rPr>
        <w:rFonts w:ascii="Georgia" w:hAnsi="Georgia" w:cs="Georgia"/>
        <w:b/>
        <w:noProof/>
        <w:color w:val="4E7161"/>
        <w:sz w:val="48"/>
        <w:szCs w:val="48"/>
      </w:rPr>
      <w:drawing>
        <wp:inline distT="0" distB="0" distL="0" distR="0">
          <wp:extent cx="5950429" cy="572479"/>
          <wp:effectExtent l="1905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38487" b="36436"/>
                  <a:stretch>
                    <a:fillRect/>
                  </a:stretch>
                </pic:blipFill>
                <pic:spPr bwMode="auto">
                  <a:xfrm>
                    <a:off x="0" y="0"/>
                    <a:ext cx="5950429" cy="57247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A67EE" w:rsidRPr="001531ED" w:rsidRDefault="007A67EE" w:rsidP="00CD2F10">
    <w:pPr>
      <w:spacing w:before="120" w:after="0"/>
      <w:jc w:val="center"/>
      <w:rPr>
        <w:rFonts w:ascii="Georgia" w:hAnsi="Georgia" w:cs="Georgia"/>
        <w:b/>
        <w:color w:val="4E7161"/>
        <w:sz w:val="48"/>
        <w:szCs w:val="48"/>
        <w:lang w:val="en-GB"/>
      </w:rPr>
    </w:pPr>
    <w:r>
      <w:rPr>
        <w:rFonts w:ascii="Georgia" w:hAnsi="Georgia" w:cs="Georgia"/>
        <w:b/>
        <w:color w:val="4E7161"/>
        <w:sz w:val="48"/>
        <w:szCs w:val="48"/>
        <w:lang w:val="en-GB"/>
      </w:rPr>
      <w:t>CEPS Finance R</w:t>
    </w:r>
    <w:r w:rsidRPr="001531ED">
      <w:rPr>
        <w:rFonts w:ascii="Georgia" w:hAnsi="Georgia" w:cs="Georgia"/>
        <w:b/>
        <w:color w:val="4E7161"/>
        <w:sz w:val="48"/>
        <w:szCs w:val="48"/>
        <w:lang w:val="en-GB"/>
      </w:rPr>
      <w:t>oundtables 2012</w:t>
    </w:r>
  </w:p>
  <w:p w:rsidR="007A67EE" w:rsidRDefault="007A67EE">
    <w:pPr>
      <w:pStyle w:val="Header"/>
    </w:pPr>
    <w:r w:rsidRPr="00AE3A6C" w:rsidDel="00433C09">
      <w:rPr>
        <w:b/>
        <w:lang w:val="en-GB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81506"/>
    <w:multiLevelType w:val="hybridMultilevel"/>
    <w:tmpl w:val="4D8C6AE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B6C360E"/>
    <w:multiLevelType w:val="multilevel"/>
    <w:tmpl w:val="CF06B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3FD4728"/>
    <w:multiLevelType w:val="hybridMultilevel"/>
    <w:tmpl w:val="A8E26228"/>
    <w:lvl w:ilvl="0" w:tplc="269CB2AA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E0717D"/>
    <w:multiLevelType w:val="multilevel"/>
    <w:tmpl w:val="49FEE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0B4310C"/>
    <w:multiLevelType w:val="multilevel"/>
    <w:tmpl w:val="A96E5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1BD67C8"/>
    <w:multiLevelType w:val="hybridMultilevel"/>
    <w:tmpl w:val="24A09092"/>
    <w:lvl w:ilvl="0" w:tplc="4B380AFE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7014E7"/>
    <w:multiLevelType w:val="multilevel"/>
    <w:tmpl w:val="4AEED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49575257"/>
    <w:multiLevelType w:val="hybridMultilevel"/>
    <w:tmpl w:val="86C6E85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BD97799"/>
    <w:multiLevelType w:val="multilevel"/>
    <w:tmpl w:val="F5D0F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7"/>
  </w:num>
  <w:num w:numId="6">
    <w:abstractNumId w:val="5"/>
  </w:num>
  <w:num w:numId="7">
    <w:abstractNumId w:val="4"/>
  </w:num>
  <w:num w:numId="8">
    <w:abstractNumId w:val="3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/>
  <w:rsids>
    <w:rsidRoot w:val="009D5B3A"/>
    <w:rsid w:val="00047777"/>
    <w:rsid w:val="000616D6"/>
    <w:rsid w:val="00070BD9"/>
    <w:rsid w:val="00072BF6"/>
    <w:rsid w:val="0007442C"/>
    <w:rsid w:val="00077D56"/>
    <w:rsid w:val="000818AA"/>
    <w:rsid w:val="00091647"/>
    <w:rsid w:val="000933C9"/>
    <w:rsid w:val="000A4A7B"/>
    <w:rsid w:val="000A79EB"/>
    <w:rsid w:val="000B4FCF"/>
    <w:rsid w:val="000B58BD"/>
    <w:rsid w:val="000C6B67"/>
    <w:rsid w:val="000D090B"/>
    <w:rsid w:val="000D7DBD"/>
    <w:rsid w:val="000E2730"/>
    <w:rsid w:val="000F4172"/>
    <w:rsid w:val="0010399A"/>
    <w:rsid w:val="00111F83"/>
    <w:rsid w:val="00116A8B"/>
    <w:rsid w:val="0012203C"/>
    <w:rsid w:val="00133154"/>
    <w:rsid w:val="00150CDA"/>
    <w:rsid w:val="001531ED"/>
    <w:rsid w:val="001556F4"/>
    <w:rsid w:val="0016706C"/>
    <w:rsid w:val="00172FBF"/>
    <w:rsid w:val="001731B9"/>
    <w:rsid w:val="001742FA"/>
    <w:rsid w:val="00192A7C"/>
    <w:rsid w:val="00193B41"/>
    <w:rsid w:val="001A3ADC"/>
    <w:rsid w:val="001D3944"/>
    <w:rsid w:val="001E3BE8"/>
    <w:rsid w:val="001E4311"/>
    <w:rsid w:val="001F575C"/>
    <w:rsid w:val="002036BF"/>
    <w:rsid w:val="002163CC"/>
    <w:rsid w:val="00220CAC"/>
    <w:rsid w:val="002273EC"/>
    <w:rsid w:val="00234789"/>
    <w:rsid w:val="00235DA0"/>
    <w:rsid w:val="00247591"/>
    <w:rsid w:val="00255476"/>
    <w:rsid w:val="00255C5B"/>
    <w:rsid w:val="0027615D"/>
    <w:rsid w:val="002769D2"/>
    <w:rsid w:val="002A34CE"/>
    <w:rsid w:val="002B4F5D"/>
    <w:rsid w:val="002C092F"/>
    <w:rsid w:val="002D267B"/>
    <w:rsid w:val="002E163C"/>
    <w:rsid w:val="002E2CF0"/>
    <w:rsid w:val="002E36F2"/>
    <w:rsid w:val="002E5A58"/>
    <w:rsid w:val="002F3D62"/>
    <w:rsid w:val="00312257"/>
    <w:rsid w:val="00324032"/>
    <w:rsid w:val="00324ECC"/>
    <w:rsid w:val="0033669D"/>
    <w:rsid w:val="003401E4"/>
    <w:rsid w:val="00341FF6"/>
    <w:rsid w:val="00343B4D"/>
    <w:rsid w:val="00353894"/>
    <w:rsid w:val="00365586"/>
    <w:rsid w:val="003770A0"/>
    <w:rsid w:val="00380228"/>
    <w:rsid w:val="003821FB"/>
    <w:rsid w:val="0039702B"/>
    <w:rsid w:val="003B146A"/>
    <w:rsid w:val="003B1C9F"/>
    <w:rsid w:val="003B754F"/>
    <w:rsid w:val="003B7D0B"/>
    <w:rsid w:val="003D3CFC"/>
    <w:rsid w:val="003D7C1D"/>
    <w:rsid w:val="003E3691"/>
    <w:rsid w:val="003F509F"/>
    <w:rsid w:val="00403F47"/>
    <w:rsid w:val="00433C09"/>
    <w:rsid w:val="00443CD9"/>
    <w:rsid w:val="00453123"/>
    <w:rsid w:val="00463F6F"/>
    <w:rsid w:val="00464D71"/>
    <w:rsid w:val="00471A0F"/>
    <w:rsid w:val="0048107F"/>
    <w:rsid w:val="004A307E"/>
    <w:rsid w:val="004A31FA"/>
    <w:rsid w:val="004B13EA"/>
    <w:rsid w:val="004B6210"/>
    <w:rsid w:val="004C33AE"/>
    <w:rsid w:val="004D19DA"/>
    <w:rsid w:val="004E1257"/>
    <w:rsid w:val="004E2A44"/>
    <w:rsid w:val="004E7916"/>
    <w:rsid w:val="004F1F2D"/>
    <w:rsid w:val="004F42F6"/>
    <w:rsid w:val="00503072"/>
    <w:rsid w:val="00505716"/>
    <w:rsid w:val="00512BE1"/>
    <w:rsid w:val="005251E5"/>
    <w:rsid w:val="005348FA"/>
    <w:rsid w:val="00536D21"/>
    <w:rsid w:val="00555EE4"/>
    <w:rsid w:val="00560DC8"/>
    <w:rsid w:val="005832F8"/>
    <w:rsid w:val="00584392"/>
    <w:rsid w:val="00592B64"/>
    <w:rsid w:val="005B57A1"/>
    <w:rsid w:val="005B6D85"/>
    <w:rsid w:val="005B7073"/>
    <w:rsid w:val="005D472B"/>
    <w:rsid w:val="005E0958"/>
    <w:rsid w:val="005F566E"/>
    <w:rsid w:val="006034E5"/>
    <w:rsid w:val="006044C8"/>
    <w:rsid w:val="006172C4"/>
    <w:rsid w:val="0062141F"/>
    <w:rsid w:val="00624756"/>
    <w:rsid w:val="00640FC4"/>
    <w:rsid w:val="006428B6"/>
    <w:rsid w:val="00644ABB"/>
    <w:rsid w:val="00656DD1"/>
    <w:rsid w:val="00661A6C"/>
    <w:rsid w:val="00661F62"/>
    <w:rsid w:val="00662461"/>
    <w:rsid w:val="00672705"/>
    <w:rsid w:val="0068026B"/>
    <w:rsid w:val="006964AB"/>
    <w:rsid w:val="006A1303"/>
    <w:rsid w:val="006A3A1D"/>
    <w:rsid w:val="006A6645"/>
    <w:rsid w:val="006B07D4"/>
    <w:rsid w:val="006B654F"/>
    <w:rsid w:val="006C36F7"/>
    <w:rsid w:val="006D00BE"/>
    <w:rsid w:val="006D2E9C"/>
    <w:rsid w:val="006D2F3F"/>
    <w:rsid w:val="006D41F9"/>
    <w:rsid w:val="006F7D63"/>
    <w:rsid w:val="007352AD"/>
    <w:rsid w:val="0074115E"/>
    <w:rsid w:val="00741D99"/>
    <w:rsid w:val="00743236"/>
    <w:rsid w:val="0074657B"/>
    <w:rsid w:val="00755340"/>
    <w:rsid w:val="00756C48"/>
    <w:rsid w:val="0077502E"/>
    <w:rsid w:val="00775A33"/>
    <w:rsid w:val="00780CC8"/>
    <w:rsid w:val="007872B1"/>
    <w:rsid w:val="007A67EE"/>
    <w:rsid w:val="007B1476"/>
    <w:rsid w:val="007B34D2"/>
    <w:rsid w:val="007D094C"/>
    <w:rsid w:val="007D171D"/>
    <w:rsid w:val="007F6715"/>
    <w:rsid w:val="007F7692"/>
    <w:rsid w:val="00801F6C"/>
    <w:rsid w:val="00806864"/>
    <w:rsid w:val="008110F2"/>
    <w:rsid w:val="0082263D"/>
    <w:rsid w:val="00845043"/>
    <w:rsid w:val="00857604"/>
    <w:rsid w:val="00873054"/>
    <w:rsid w:val="008A0E96"/>
    <w:rsid w:val="008A29C4"/>
    <w:rsid w:val="008A3F3A"/>
    <w:rsid w:val="008B116B"/>
    <w:rsid w:val="008B4872"/>
    <w:rsid w:val="008E4002"/>
    <w:rsid w:val="008F50D6"/>
    <w:rsid w:val="00910783"/>
    <w:rsid w:val="00922ABD"/>
    <w:rsid w:val="00925BD2"/>
    <w:rsid w:val="0092697C"/>
    <w:rsid w:val="00930D6B"/>
    <w:rsid w:val="00941146"/>
    <w:rsid w:val="009421D5"/>
    <w:rsid w:val="00942918"/>
    <w:rsid w:val="00957EDF"/>
    <w:rsid w:val="00976D31"/>
    <w:rsid w:val="00984296"/>
    <w:rsid w:val="00987587"/>
    <w:rsid w:val="00993A6D"/>
    <w:rsid w:val="009D24E4"/>
    <w:rsid w:val="009D2504"/>
    <w:rsid w:val="009D2ABA"/>
    <w:rsid w:val="009D3033"/>
    <w:rsid w:val="009D5B3A"/>
    <w:rsid w:val="009D7D50"/>
    <w:rsid w:val="009E3B06"/>
    <w:rsid w:val="009E5890"/>
    <w:rsid w:val="009F082D"/>
    <w:rsid w:val="009F5A16"/>
    <w:rsid w:val="00A04023"/>
    <w:rsid w:val="00A04C49"/>
    <w:rsid w:val="00A11A6B"/>
    <w:rsid w:val="00A11BB2"/>
    <w:rsid w:val="00A1253F"/>
    <w:rsid w:val="00A131B0"/>
    <w:rsid w:val="00A154AA"/>
    <w:rsid w:val="00A37B3A"/>
    <w:rsid w:val="00A41642"/>
    <w:rsid w:val="00A45B97"/>
    <w:rsid w:val="00A534D8"/>
    <w:rsid w:val="00A71255"/>
    <w:rsid w:val="00A82D9C"/>
    <w:rsid w:val="00A901F3"/>
    <w:rsid w:val="00AC0E33"/>
    <w:rsid w:val="00AC7128"/>
    <w:rsid w:val="00AC7B1B"/>
    <w:rsid w:val="00AD0F6D"/>
    <w:rsid w:val="00AD4341"/>
    <w:rsid w:val="00AD4E7F"/>
    <w:rsid w:val="00AE05D1"/>
    <w:rsid w:val="00AE06D1"/>
    <w:rsid w:val="00AE3A6C"/>
    <w:rsid w:val="00AE548D"/>
    <w:rsid w:val="00B042DF"/>
    <w:rsid w:val="00B05E28"/>
    <w:rsid w:val="00B06028"/>
    <w:rsid w:val="00B1530B"/>
    <w:rsid w:val="00B17865"/>
    <w:rsid w:val="00B22086"/>
    <w:rsid w:val="00B30A11"/>
    <w:rsid w:val="00B37589"/>
    <w:rsid w:val="00B62171"/>
    <w:rsid w:val="00B66731"/>
    <w:rsid w:val="00B75B70"/>
    <w:rsid w:val="00B959BA"/>
    <w:rsid w:val="00B9677F"/>
    <w:rsid w:val="00BA348E"/>
    <w:rsid w:val="00BB1525"/>
    <w:rsid w:val="00BB7473"/>
    <w:rsid w:val="00BC1926"/>
    <w:rsid w:val="00BC2E00"/>
    <w:rsid w:val="00BD6D58"/>
    <w:rsid w:val="00BE1AA8"/>
    <w:rsid w:val="00BE7940"/>
    <w:rsid w:val="00BF00DD"/>
    <w:rsid w:val="00C01DEC"/>
    <w:rsid w:val="00C20586"/>
    <w:rsid w:val="00C36A67"/>
    <w:rsid w:val="00C37C6D"/>
    <w:rsid w:val="00C44204"/>
    <w:rsid w:val="00C44E74"/>
    <w:rsid w:val="00C56791"/>
    <w:rsid w:val="00C66FD4"/>
    <w:rsid w:val="00C7712F"/>
    <w:rsid w:val="00CA06DB"/>
    <w:rsid w:val="00CB0BE4"/>
    <w:rsid w:val="00CC2CD4"/>
    <w:rsid w:val="00CC45D8"/>
    <w:rsid w:val="00CD2F10"/>
    <w:rsid w:val="00CD2FD6"/>
    <w:rsid w:val="00CD6372"/>
    <w:rsid w:val="00CE2FF3"/>
    <w:rsid w:val="00D02E64"/>
    <w:rsid w:val="00D07AD3"/>
    <w:rsid w:val="00D10C24"/>
    <w:rsid w:val="00D23744"/>
    <w:rsid w:val="00D33CE4"/>
    <w:rsid w:val="00D43EE9"/>
    <w:rsid w:val="00D71966"/>
    <w:rsid w:val="00D73AA4"/>
    <w:rsid w:val="00D7557D"/>
    <w:rsid w:val="00D86472"/>
    <w:rsid w:val="00D92164"/>
    <w:rsid w:val="00D9503A"/>
    <w:rsid w:val="00DA5A1A"/>
    <w:rsid w:val="00DC7926"/>
    <w:rsid w:val="00DD3AEB"/>
    <w:rsid w:val="00DD6633"/>
    <w:rsid w:val="00DE4083"/>
    <w:rsid w:val="00DF0A49"/>
    <w:rsid w:val="00DF37E0"/>
    <w:rsid w:val="00DF6F6C"/>
    <w:rsid w:val="00E12429"/>
    <w:rsid w:val="00E138E5"/>
    <w:rsid w:val="00E14F90"/>
    <w:rsid w:val="00E52ED4"/>
    <w:rsid w:val="00E64D03"/>
    <w:rsid w:val="00E667AA"/>
    <w:rsid w:val="00E70188"/>
    <w:rsid w:val="00E7522C"/>
    <w:rsid w:val="00E86119"/>
    <w:rsid w:val="00E87928"/>
    <w:rsid w:val="00E90B48"/>
    <w:rsid w:val="00E93CF9"/>
    <w:rsid w:val="00EC56F6"/>
    <w:rsid w:val="00EC604F"/>
    <w:rsid w:val="00ED4190"/>
    <w:rsid w:val="00EE26A4"/>
    <w:rsid w:val="00EE2F3C"/>
    <w:rsid w:val="00EF23D7"/>
    <w:rsid w:val="00EF4098"/>
    <w:rsid w:val="00F23733"/>
    <w:rsid w:val="00F2585E"/>
    <w:rsid w:val="00F3708A"/>
    <w:rsid w:val="00F41E39"/>
    <w:rsid w:val="00F43EE9"/>
    <w:rsid w:val="00F451B3"/>
    <w:rsid w:val="00F53B84"/>
    <w:rsid w:val="00F65540"/>
    <w:rsid w:val="00F86C98"/>
    <w:rsid w:val="00F92C6A"/>
    <w:rsid w:val="00FC05C9"/>
    <w:rsid w:val="00FD7A6E"/>
    <w:rsid w:val="00FE7F07"/>
    <w:rsid w:val="00FF2483"/>
    <w:rsid w:val="00FF3B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0F2"/>
    <w:pPr>
      <w:spacing w:after="120"/>
      <w:jc w:val="both"/>
    </w:pPr>
    <w:rPr>
      <w:rFonts w:ascii="Book Antiqua" w:hAnsi="Book Antiqua"/>
      <w:sz w:val="21"/>
    </w:rPr>
  </w:style>
  <w:style w:type="paragraph" w:styleId="Heading6">
    <w:name w:val="heading 6"/>
    <w:basedOn w:val="Normal"/>
    <w:link w:val="Heading6Char"/>
    <w:qFormat/>
    <w:locked/>
    <w:rsid w:val="00656DD1"/>
    <w:pPr>
      <w:spacing w:before="100" w:beforeAutospacing="1" w:after="100" w:afterAutospacing="1"/>
      <w:outlineLvl w:val="5"/>
    </w:pPr>
    <w:rPr>
      <w:rFonts w:ascii="Georgia" w:eastAsia="Times New Roman" w:hAnsi="Georgia"/>
      <w:b/>
      <w:bCs/>
      <w:color w:val="777777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C36A67"/>
    <w:rPr>
      <w:rFonts w:cs="Times New Roman"/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rsid w:val="00ED419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ED419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ED4190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D41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ED4190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ED4190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D4190"/>
    <w:rPr>
      <w:rFonts w:ascii="Tahoma" w:hAnsi="Tahoma" w:cs="Tahoma"/>
      <w:sz w:val="16"/>
      <w:szCs w:val="16"/>
    </w:rPr>
  </w:style>
  <w:style w:type="character" w:customStyle="1" w:styleId="hps">
    <w:name w:val="hps"/>
    <w:basedOn w:val="DefaultParagraphFont"/>
    <w:uiPriority w:val="99"/>
    <w:rsid w:val="00F41E39"/>
    <w:rPr>
      <w:rFonts w:cs="Times New Roman"/>
    </w:rPr>
  </w:style>
  <w:style w:type="paragraph" w:styleId="ListParagraph">
    <w:name w:val="List Paragraph"/>
    <w:basedOn w:val="Normal"/>
    <w:uiPriority w:val="99"/>
    <w:qFormat/>
    <w:rsid w:val="00D719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B37589"/>
    <w:pPr>
      <w:tabs>
        <w:tab w:val="center" w:pos="4703"/>
        <w:tab w:val="right" w:pos="940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3758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B37589"/>
    <w:pPr>
      <w:tabs>
        <w:tab w:val="center" w:pos="4703"/>
        <w:tab w:val="right" w:pos="940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locked/>
    <w:rsid w:val="00B37589"/>
    <w:rPr>
      <w:rFonts w:cs="Times New Roman"/>
    </w:rPr>
  </w:style>
  <w:style w:type="paragraph" w:styleId="Revision">
    <w:name w:val="Revision"/>
    <w:hidden/>
    <w:uiPriority w:val="99"/>
    <w:semiHidden/>
    <w:rsid w:val="00CE2FF3"/>
  </w:style>
  <w:style w:type="table" w:styleId="TableGrid">
    <w:name w:val="Table Grid"/>
    <w:basedOn w:val="TableNormal"/>
    <w:uiPriority w:val="59"/>
    <w:locked/>
    <w:rsid w:val="006B07D4"/>
    <w:rPr>
      <w:rFonts w:asciiTheme="minorHAnsi" w:eastAsiaTheme="minorHAnsi" w:hAnsiTheme="minorHAnsi" w:cstheme="minorBid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6Char">
    <w:name w:val="Heading 6 Char"/>
    <w:basedOn w:val="DefaultParagraphFont"/>
    <w:link w:val="Heading6"/>
    <w:rsid w:val="00656DD1"/>
    <w:rPr>
      <w:rFonts w:ascii="Georgia" w:eastAsia="Times New Roman" w:hAnsi="Georgia"/>
      <w:b/>
      <w:bCs/>
      <w:color w:val="777777"/>
      <w:sz w:val="24"/>
      <w:szCs w:val="24"/>
    </w:rPr>
  </w:style>
  <w:style w:type="character" w:styleId="Strong">
    <w:name w:val="Strong"/>
    <w:basedOn w:val="DefaultParagraphFont"/>
    <w:qFormat/>
    <w:locked/>
    <w:rsid w:val="00656DD1"/>
    <w:rPr>
      <w:b/>
      <w:bCs/>
    </w:rPr>
  </w:style>
  <w:style w:type="paragraph" w:styleId="NormalWeb">
    <w:name w:val="Normal (Web)"/>
    <w:basedOn w:val="Normal"/>
    <w:rsid w:val="00656DD1"/>
    <w:pPr>
      <w:spacing w:after="360"/>
    </w:pPr>
    <w:rPr>
      <w:rFonts w:ascii="Verdana" w:eastAsia="Times New Roman" w:hAnsi="Verdana"/>
      <w:color w:val="666666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800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08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08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08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sabelle.tenaerts@ceps.e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willem.pieter.degroen@ceps.eu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1158</Words>
  <Characters>6870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Willem Pieter De Groen</dc:creator>
  <cp:lastModifiedBy> Marco</cp:lastModifiedBy>
  <cp:revision>2</cp:revision>
  <cp:lastPrinted>2012-01-20T13:25:00Z</cp:lastPrinted>
  <dcterms:created xsi:type="dcterms:W3CDTF">2012-03-22T16:03:00Z</dcterms:created>
  <dcterms:modified xsi:type="dcterms:W3CDTF">2012-03-22T16:03:00Z</dcterms:modified>
</cp:coreProperties>
</file>